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AE81">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Malgun Gothic" w:eastAsia="方正小标宋简体" w:cs="Malgun Gothic"/>
          <w:color w:val="auto"/>
          <w:spacing w:val="-1"/>
          <w:sz w:val="44"/>
          <w:szCs w:val="44"/>
          <w:highlight w:val="none"/>
          <w:shd w:val="clear" w:color="auto" w:fill="auto"/>
        </w:rPr>
      </w:pPr>
    </w:p>
    <w:p w14:paraId="57668002">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Malgun Gothic" w:eastAsia="方正小标宋简体" w:cs="Malgun Gothic"/>
          <w:color w:val="auto"/>
          <w:spacing w:val="-1"/>
          <w:sz w:val="44"/>
          <w:szCs w:val="44"/>
          <w:highlight w:val="none"/>
          <w:shd w:val="clear" w:color="auto" w:fill="auto"/>
        </w:rPr>
      </w:pPr>
    </w:p>
    <w:p w14:paraId="40884203">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Malgun Gothic" w:eastAsia="方正小标宋简体" w:cs="Malgun Gothic"/>
          <w:color w:val="auto"/>
          <w:spacing w:val="-1"/>
          <w:sz w:val="44"/>
          <w:szCs w:val="44"/>
          <w:highlight w:val="none"/>
          <w:shd w:val="clear" w:color="auto" w:fill="auto"/>
        </w:rPr>
      </w:pPr>
    </w:p>
    <w:p w14:paraId="032C8207">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Malgun Gothic" w:eastAsia="方正小标宋简体" w:cs="Malgun Gothic"/>
          <w:color w:val="auto"/>
          <w:spacing w:val="-1"/>
          <w:sz w:val="44"/>
          <w:szCs w:val="44"/>
          <w:highlight w:val="none"/>
          <w:shd w:val="clear" w:color="auto" w:fill="auto"/>
        </w:rPr>
      </w:pPr>
    </w:p>
    <w:p w14:paraId="38ABEBE9">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Malgun Gothic" w:eastAsia="方正小标宋简体" w:cs="Malgun Gothic"/>
          <w:color w:val="auto"/>
          <w:spacing w:val="-1"/>
          <w:sz w:val="44"/>
          <w:szCs w:val="44"/>
          <w:highlight w:val="none"/>
          <w:shd w:val="clear" w:color="auto" w:fill="auto"/>
        </w:rPr>
      </w:pPr>
    </w:p>
    <w:p w14:paraId="2CBAEAF7">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Malgun Gothic" w:eastAsia="方正小标宋简体" w:cs="Malgun Gothic"/>
          <w:color w:val="auto"/>
          <w:spacing w:val="-1"/>
          <w:sz w:val="44"/>
          <w:szCs w:val="44"/>
          <w:highlight w:val="none"/>
          <w:shd w:val="clear" w:color="auto" w:fill="auto"/>
        </w:rPr>
      </w:pPr>
    </w:p>
    <w:p w14:paraId="7AEF7CC5">
      <w:pPr>
        <w:keepNext w:val="0"/>
        <w:keepLines w:val="0"/>
        <w:pageBreakBefore w:val="0"/>
        <w:kinsoku/>
        <w:wordWrap/>
        <w:overflowPunct/>
        <w:topLinePunct w:val="0"/>
        <w:autoSpaceDE/>
        <w:autoSpaceDN/>
        <w:bidi w:val="0"/>
        <w:adjustRightInd/>
        <w:spacing w:before="190" w:line="500" w:lineRule="exact"/>
        <w:jc w:val="center"/>
        <w:textAlignment w:val="auto"/>
        <w:rPr>
          <w:rFonts w:ascii="方正小标宋简体" w:hAnsi="Malgun Gothic" w:eastAsia="方正小标宋简体" w:cs="Malgun Gothic"/>
          <w:color w:val="auto"/>
          <w:sz w:val="44"/>
          <w:szCs w:val="44"/>
          <w:highlight w:val="none"/>
          <w:shd w:val="clear" w:color="auto" w:fill="auto"/>
        </w:rPr>
      </w:pPr>
      <w:bookmarkStart w:id="0" w:name="OLE_LINK1"/>
      <w:r>
        <w:rPr>
          <w:rFonts w:hint="eastAsia" w:ascii="方正小标宋简体" w:hAnsi="Malgun Gothic" w:eastAsia="方正小标宋简体" w:cs="Malgun Gothic"/>
          <w:color w:val="auto"/>
          <w:spacing w:val="-1"/>
          <w:sz w:val="44"/>
          <w:szCs w:val="44"/>
          <w:highlight w:val="none"/>
          <w:shd w:val="clear" w:color="auto" w:fill="auto"/>
        </w:rPr>
        <w:t>电煤中</w:t>
      </w:r>
      <w:r>
        <w:rPr>
          <w:rFonts w:hint="eastAsia" w:ascii="方正小标宋简体" w:hAnsi="Microsoft JhengHei" w:eastAsia="方正小标宋简体" w:cs="Microsoft JhengHei"/>
          <w:color w:val="auto"/>
          <w:spacing w:val="-1"/>
          <w:sz w:val="44"/>
          <w:szCs w:val="44"/>
          <w:highlight w:val="none"/>
          <w:shd w:val="clear" w:color="auto" w:fill="auto"/>
        </w:rPr>
        <w:t>长</w:t>
      </w:r>
      <w:r>
        <w:rPr>
          <w:rFonts w:hint="eastAsia" w:ascii="方正小标宋简体" w:hAnsi="Malgun Gothic" w:eastAsia="方正小标宋简体" w:cs="Malgun Gothic"/>
          <w:color w:val="auto"/>
          <w:spacing w:val="-1"/>
          <w:sz w:val="44"/>
          <w:szCs w:val="44"/>
          <w:highlight w:val="none"/>
          <w:shd w:val="clear" w:color="auto" w:fill="auto"/>
        </w:rPr>
        <w:t>期合同示范文本（</w:t>
      </w:r>
      <w:r>
        <w:rPr>
          <w:rFonts w:hint="eastAsia" w:ascii="方正小标宋简体" w:hAnsi="Malgun Gothic" w:eastAsia="方正小标宋简体" w:cs="Malgun Gothic"/>
          <w:color w:val="auto"/>
          <w:spacing w:val="-1"/>
          <w:sz w:val="44"/>
          <w:szCs w:val="44"/>
          <w:highlight w:val="none"/>
          <w:shd w:val="clear" w:color="auto" w:fill="auto"/>
          <w:lang w:val="en-US" w:eastAsia="zh-CN"/>
        </w:rPr>
        <w:t>两方合同</w:t>
      </w:r>
      <w:r>
        <w:rPr>
          <w:rFonts w:hint="eastAsia" w:ascii="方正小标宋简体" w:hAnsi="Malgun Gothic" w:eastAsia="方正小标宋简体" w:cs="Malgun Gothic"/>
          <w:color w:val="auto"/>
          <w:spacing w:val="-1"/>
          <w:sz w:val="44"/>
          <w:szCs w:val="44"/>
          <w:highlight w:val="none"/>
          <w:shd w:val="clear" w:color="auto" w:fill="auto"/>
        </w:rPr>
        <w:t>）</w:t>
      </w:r>
    </w:p>
    <w:bookmarkEnd w:id="0"/>
    <w:p w14:paraId="492502CE">
      <w:pPr>
        <w:keepNext w:val="0"/>
        <w:keepLines w:val="0"/>
        <w:pageBreakBefore w:val="0"/>
        <w:kinsoku/>
        <w:wordWrap/>
        <w:overflowPunct/>
        <w:topLinePunct w:val="0"/>
        <w:autoSpaceDE/>
        <w:autoSpaceDN/>
        <w:bidi w:val="0"/>
        <w:adjustRightInd/>
        <w:spacing w:before="301" w:line="500" w:lineRule="exact"/>
        <w:jc w:val="center"/>
        <w:textAlignment w:val="auto"/>
        <w:rPr>
          <w:rFonts w:ascii="楷体_GB2312" w:hAnsi="楷体" w:eastAsia="楷体_GB2312" w:cs="楷体"/>
          <w:color w:val="auto"/>
          <w:sz w:val="32"/>
          <w:szCs w:val="32"/>
          <w:highlight w:val="none"/>
          <w:shd w:val="clear" w:color="auto" w:fill="auto"/>
        </w:rPr>
      </w:pPr>
      <w:r>
        <w:rPr>
          <w:rFonts w:hint="eastAsia" w:ascii="楷体_GB2312" w:hAnsi="楷体" w:eastAsia="楷体_GB2312" w:cs="楷体"/>
          <w:color w:val="auto"/>
          <w:spacing w:val="-6"/>
          <w:sz w:val="32"/>
          <w:szCs w:val="32"/>
          <w:highlight w:val="none"/>
          <w:shd w:val="clear" w:color="auto" w:fill="auto"/>
        </w:rPr>
        <w:t>（202</w:t>
      </w:r>
      <w:r>
        <w:rPr>
          <w:rFonts w:hint="eastAsia" w:ascii="楷体_GB2312" w:hAnsi="楷体" w:eastAsia="楷体_GB2312" w:cs="楷体"/>
          <w:color w:val="auto"/>
          <w:spacing w:val="-6"/>
          <w:sz w:val="32"/>
          <w:szCs w:val="32"/>
          <w:highlight w:val="none"/>
          <w:shd w:val="clear" w:color="auto" w:fill="auto"/>
          <w:lang w:val="en-US" w:eastAsia="zh-CN"/>
        </w:rPr>
        <w:t>5年</w:t>
      </w:r>
      <w:r>
        <w:rPr>
          <w:rFonts w:hint="eastAsia" w:ascii="楷体_GB2312" w:hAnsi="楷体" w:eastAsia="楷体_GB2312" w:cs="楷体"/>
          <w:color w:val="auto"/>
          <w:spacing w:val="-6"/>
          <w:sz w:val="32"/>
          <w:szCs w:val="32"/>
          <w:highlight w:val="none"/>
          <w:shd w:val="clear" w:color="auto" w:fill="auto"/>
        </w:rPr>
        <w:t>版）</w:t>
      </w:r>
    </w:p>
    <w:p w14:paraId="111EE738">
      <w:pPr>
        <w:keepNext w:val="0"/>
        <w:keepLines w:val="0"/>
        <w:pageBreakBefore w:val="0"/>
        <w:kinsoku/>
        <w:wordWrap/>
        <w:overflowPunct/>
        <w:topLinePunct w:val="0"/>
        <w:autoSpaceDE/>
        <w:autoSpaceDN/>
        <w:bidi w:val="0"/>
        <w:adjustRightInd/>
        <w:spacing w:line="500" w:lineRule="exact"/>
        <w:textAlignment w:val="auto"/>
        <w:rPr>
          <w:rFonts w:ascii="方正小标宋简体" w:eastAsia="方正小标宋简体"/>
          <w:color w:val="auto"/>
          <w:sz w:val="36"/>
          <w:szCs w:val="36"/>
          <w:highlight w:val="none"/>
          <w:shd w:val="clear" w:color="auto" w:fill="auto"/>
        </w:rPr>
      </w:pPr>
    </w:p>
    <w:p w14:paraId="36E52A7B">
      <w:pPr>
        <w:keepNext w:val="0"/>
        <w:keepLines w:val="0"/>
        <w:pageBreakBefore w:val="0"/>
        <w:kinsoku/>
        <w:wordWrap/>
        <w:overflowPunct/>
        <w:topLinePunct w:val="0"/>
        <w:autoSpaceDE/>
        <w:autoSpaceDN/>
        <w:bidi w:val="0"/>
        <w:adjustRightInd/>
        <w:spacing w:line="500" w:lineRule="exact"/>
        <w:textAlignment w:val="auto"/>
        <w:rPr>
          <w:rFonts w:ascii="方正小标宋简体" w:eastAsia="方正小标宋简体"/>
          <w:color w:val="auto"/>
          <w:sz w:val="36"/>
          <w:szCs w:val="36"/>
          <w:highlight w:val="none"/>
          <w:shd w:val="clear" w:color="auto" w:fill="auto"/>
        </w:rPr>
      </w:pPr>
    </w:p>
    <w:p w14:paraId="089A8697">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pPr>
    </w:p>
    <w:p w14:paraId="2EFB0CDA">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pPr>
    </w:p>
    <w:p w14:paraId="74505E86">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pPr>
    </w:p>
    <w:p w14:paraId="326B0585">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pPr>
    </w:p>
    <w:p w14:paraId="0694DCF5">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sectPr>
          <w:footerReference r:id="rId3" w:type="default"/>
          <w:pgSz w:w="11906" w:h="16838"/>
          <w:pgMar w:top="1440" w:right="1800" w:bottom="1440" w:left="1800" w:header="851" w:footer="992" w:gutter="0"/>
          <w:pgNumType w:fmt="decimal"/>
          <w:cols w:space="425" w:num="1"/>
          <w:docGrid w:type="lines" w:linePitch="312" w:charSpace="0"/>
        </w:sectPr>
      </w:pPr>
    </w:p>
    <w:p w14:paraId="127B2048">
      <w:pPr>
        <w:keepNext w:val="0"/>
        <w:keepLines w:val="0"/>
        <w:pageBreakBefore w:val="0"/>
        <w:kinsoku/>
        <w:wordWrap/>
        <w:overflowPunct/>
        <w:topLinePunct w:val="0"/>
        <w:autoSpaceDE/>
        <w:autoSpaceDN/>
        <w:bidi w:val="0"/>
        <w:adjustRightInd/>
        <w:spacing w:before="190" w:line="500" w:lineRule="exact"/>
        <w:textAlignment w:val="auto"/>
        <w:rPr>
          <w:rFonts w:ascii="方正小标宋简体" w:hAnsi="黑体" w:eastAsia="方正小标宋简体" w:cs="Malgun Gothic"/>
          <w:color w:val="auto"/>
          <w:spacing w:val="-9"/>
          <w:sz w:val="44"/>
          <w:szCs w:val="44"/>
          <w:highlight w:val="none"/>
          <w:shd w:val="clear" w:color="auto" w:fill="auto"/>
        </w:rPr>
      </w:pPr>
    </w:p>
    <w:p w14:paraId="6342CFD2">
      <w:pPr>
        <w:keepNext w:val="0"/>
        <w:keepLines w:val="0"/>
        <w:pageBreakBefore w:val="0"/>
        <w:kinsoku/>
        <w:wordWrap/>
        <w:overflowPunct/>
        <w:topLinePunct w:val="0"/>
        <w:autoSpaceDE/>
        <w:autoSpaceDN/>
        <w:bidi w:val="0"/>
        <w:adjustRightInd/>
        <w:spacing w:before="190" w:line="500" w:lineRule="exact"/>
        <w:jc w:val="center"/>
        <w:textAlignment w:val="auto"/>
        <w:rPr>
          <w:rFonts w:ascii="方正小标宋简体" w:hAnsi="黑体" w:eastAsia="方正小标宋简体" w:cs="Malgun Gothic"/>
          <w:color w:val="auto"/>
          <w:sz w:val="44"/>
          <w:szCs w:val="44"/>
          <w:highlight w:val="none"/>
          <w:shd w:val="clear" w:color="auto" w:fill="auto"/>
        </w:rPr>
      </w:pPr>
      <w:r>
        <w:rPr>
          <w:rFonts w:hint="eastAsia" w:ascii="方正小标宋简体" w:hAnsi="黑体" w:eastAsia="方正小标宋简体" w:cs="Malgun Gothic"/>
          <w:color w:val="auto"/>
          <w:spacing w:val="-9"/>
          <w:sz w:val="44"/>
          <w:szCs w:val="44"/>
          <w:highlight w:val="none"/>
          <w:shd w:val="clear" w:color="auto" w:fill="auto"/>
        </w:rPr>
        <w:t>使</w:t>
      </w:r>
      <w:r>
        <w:rPr>
          <w:rFonts w:hint="eastAsia" w:ascii="方正小标宋简体" w:hAnsi="黑体" w:eastAsia="方正小标宋简体" w:cs="Malgun Gothic"/>
          <w:color w:val="auto"/>
          <w:spacing w:val="78"/>
          <w:sz w:val="44"/>
          <w:szCs w:val="44"/>
          <w:highlight w:val="none"/>
          <w:shd w:val="clear" w:color="auto" w:fill="auto"/>
        </w:rPr>
        <w:t xml:space="preserve">  </w:t>
      </w:r>
      <w:r>
        <w:rPr>
          <w:rFonts w:hint="eastAsia" w:ascii="方正小标宋简体" w:hAnsi="黑体" w:eastAsia="方正小标宋简体" w:cs="Malgun Gothic"/>
          <w:color w:val="auto"/>
          <w:spacing w:val="-9"/>
          <w:sz w:val="44"/>
          <w:szCs w:val="44"/>
          <w:highlight w:val="none"/>
          <w:shd w:val="clear" w:color="auto" w:fill="auto"/>
        </w:rPr>
        <w:t>用</w:t>
      </w:r>
      <w:r>
        <w:rPr>
          <w:rFonts w:hint="eastAsia" w:ascii="方正小标宋简体" w:hAnsi="黑体" w:eastAsia="方正小标宋简体" w:cs="Malgun Gothic"/>
          <w:color w:val="auto"/>
          <w:spacing w:val="69"/>
          <w:sz w:val="44"/>
          <w:szCs w:val="44"/>
          <w:highlight w:val="none"/>
          <w:shd w:val="clear" w:color="auto" w:fill="auto"/>
        </w:rPr>
        <w:t xml:space="preserve">  </w:t>
      </w:r>
      <w:r>
        <w:rPr>
          <w:rFonts w:hint="eastAsia" w:ascii="方正小标宋简体" w:hAnsi="黑体" w:eastAsia="方正小标宋简体" w:cs="Microsoft JhengHei"/>
          <w:color w:val="auto"/>
          <w:spacing w:val="-9"/>
          <w:sz w:val="44"/>
          <w:szCs w:val="44"/>
          <w:highlight w:val="none"/>
          <w:shd w:val="clear" w:color="auto" w:fill="auto"/>
        </w:rPr>
        <w:t>说</w:t>
      </w:r>
      <w:r>
        <w:rPr>
          <w:rFonts w:hint="eastAsia" w:ascii="方正小标宋简体" w:hAnsi="黑体" w:eastAsia="方正小标宋简体" w:cs="Microsoft JhengHei"/>
          <w:color w:val="auto"/>
          <w:spacing w:val="7"/>
          <w:sz w:val="44"/>
          <w:szCs w:val="44"/>
          <w:highlight w:val="none"/>
          <w:shd w:val="clear" w:color="auto" w:fill="auto"/>
        </w:rPr>
        <w:t xml:space="preserve">   </w:t>
      </w:r>
      <w:r>
        <w:rPr>
          <w:rFonts w:hint="eastAsia" w:ascii="方正小标宋简体" w:hAnsi="黑体" w:eastAsia="方正小标宋简体" w:cs="Malgun Gothic"/>
          <w:color w:val="auto"/>
          <w:spacing w:val="-9"/>
          <w:sz w:val="44"/>
          <w:szCs w:val="44"/>
          <w:highlight w:val="none"/>
          <w:shd w:val="clear" w:color="auto" w:fill="auto"/>
        </w:rPr>
        <w:t>明</w:t>
      </w:r>
    </w:p>
    <w:p w14:paraId="73229B47">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pPr>
    </w:p>
    <w:p w14:paraId="3EE82809">
      <w:pPr>
        <w:keepNext w:val="0"/>
        <w:keepLines w:val="0"/>
        <w:pageBreakBefore w:val="0"/>
        <w:kinsoku/>
        <w:wordWrap/>
        <w:overflowPunct/>
        <w:topLinePunct w:val="0"/>
        <w:autoSpaceDE/>
        <w:autoSpaceDN/>
        <w:bidi w:val="0"/>
        <w:adjustRightInd/>
        <w:spacing w:before="130" w:line="500" w:lineRule="exact"/>
        <w:ind w:left="37" w:right="112" w:firstLine="611"/>
        <w:textAlignment w:val="auto"/>
        <w:rPr>
          <w:rFonts w:ascii="仿宋_GB2312" w:hAnsi="Malgun Gothic" w:eastAsia="仿宋_GB2312" w:cs="Malgun Gothic"/>
          <w:color w:val="auto"/>
          <w:sz w:val="30"/>
          <w:szCs w:val="30"/>
          <w:highlight w:val="none"/>
          <w:shd w:val="clear" w:color="auto" w:fill="auto"/>
        </w:rPr>
      </w:pPr>
      <w:r>
        <w:rPr>
          <w:rFonts w:hint="eastAsia" w:ascii="仿宋_GB2312" w:eastAsia="仿宋_GB2312"/>
          <w:color w:val="auto"/>
          <w:spacing w:val="-3"/>
          <w:sz w:val="30"/>
          <w:szCs w:val="30"/>
          <w:highlight w:val="none"/>
          <w:shd w:val="clear" w:color="auto" w:fill="auto"/>
        </w:rPr>
        <w:t>1</w:t>
      </w:r>
      <w:r>
        <w:rPr>
          <w:rFonts w:hint="eastAsia" w:ascii="仿宋_GB2312" w:eastAsia="仿宋_GB2312"/>
          <w:color w:val="auto"/>
          <w:spacing w:val="-29"/>
          <w:sz w:val="30"/>
          <w:szCs w:val="30"/>
          <w:highlight w:val="none"/>
          <w:shd w:val="clear" w:color="auto" w:fill="auto"/>
        </w:rPr>
        <w:t xml:space="preserve"> </w:t>
      </w:r>
      <w:r>
        <w:rPr>
          <w:rFonts w:hint="eastAsia" w:ascii="仿宋_GB2312" w:hAnsi="Malgun Gothic" w:eastAsia="仿宋_GB2312" w:cs="Malgun Gothic"/>
          <w:color w:val="auto"/>
          <w:spacing w:val="-3"/>
          <w:sz w:val="30"/>
          <w:szCs w:val="30"/>
          <w:highlight w:val="none"/>
          <w:shd w:val="clear" w:color="auto" w:fill="auto"/>
        </w:rPr>
        <w:t>、凡在中</w:t>
      </w:r>
      <w:r>
        <w:rPr>
          <w:rFonts w:hint="eastAsia" w:ascii="仿宋_GB2312" w:hAnsi="Microsoft JhengHei" w:eastAsia="仿宋_GB2312" w:cs="Microsoft JhengHei"/>
          <w:color w:val="auto"/>
          <w:spacing w:val="-3"/>
          <w:sz w:val="30"/>
          <w:szCs w:val="30"/>
          <w:highlight w:val="none"/>
          <w:shd w:val="clear" w:color="auto" w:fill="auto"/>
        </w:rPr>
        <w:t>华</w:t>
      </w:r>
      <w:r>
        <w:rPr>
          <w:rFonts w:hint="eastAsia" w:ascii="仿宋_GB2312" w:hAnsi="Malgun Gothic" w:eastAsia="仿宋_GB2312" w:cs="Malgun Gothic"/>
          <w:color w:val="auto"/>
          <w:spacing w:val="-3"/>
          <w:sz w:val="30"/>
          <w:szCs w:val="30"/>
          <w:highlight w:val="none"/>
          <w:shd w:val="clear" w:color="auto" w:fill="auto"/>
        </w:rPr>
        <w:t>人民共和</w:t>
      </w:r>
      <w:r>
        <w:rPr>
          <w:rFonts w:hint="eastAsia" w:ascii="仿宋_GB2312" w:hAnsi="Microsoft JhengHei" w:eastAsia="仿宋_GB2312" w:cs="Microsoft JhengHei"/>
          <w:color w:val="auto"/>
          <w:spacing w:val="-3"/>
          <w:sz w:val="30"/>
          <w:szCs w:val="30"/>
          <w:highlight w:val="none"/>
          <w:shd w:val="clear" w:color="auto" w:fill="auto"/>
        </w:rPr>
        <w:t>国</w:t>
      </w:r>
      <w:r>
        <w:rPr>
          <w:rFonts w:hint="eastAsia" w:ascii="仿宋_GB2312" w:hAnsi="Malgun Gothic" w:eastAsia="仿宋_GB2312" w:cs="Malgun Gothic"/>
          <w:color w:val="auto"/>
          <w:spacing w:val="-3"/>
          <w:sz w:val="30"/>
          <w:szCs w:val="30"/>
          <w:highlight w:val="none"/>
          <w:shd w:val="clear" w:color="auto" w:fill="auto"/>
        </w:rPr>
        <w:t>境</w:t>
      </w:r>
      <w:r>
        <w:rPr>
          <w:rFonts w:hint="eastAsia" w:ascii="仿宋_GB2312" w:hAnsi="Microsoft JhengHei" w:eastAsia="仿宋_GB2312" w:cs="Microsoft JhengHei"/>
          <w:color w:val="auto"/>
          <w:spacing w:val="-3"/>
          <w:sz w:val="30"/>
          <w:szCs w:val="30"/>
          <w:highlight w:val="none"/>
          <w:shd w:val="clear" w:color="auto" w:fill="auto"/>
        </w:rPr>
        <w:t>内，由煤炭生产企业（煤矿或煤矿销售公司）与电力企业（电厂或电厂燃料采购公司）签订的电煤中长期合同，均适用本文本。</w:t>
      </w:r>
    </w:p>
    <w:p w14:paraId="5E5A0D6F">
      <w:pPr>
        <w:keepNext w:val="0"/>
        <w:keepLines w:val="0"/>
        <w:pageBreakBefore w:val="0"/>
        <w:kinsoku/>
        <w:wordWrap/>
        <w:overflowPunct/>
        <w:topLinePunct w:val="0"/>
        <w:autoSpaceDE/>
        <w:autoSpaceDN/>
        <w:bidi w:val="0"/>
        <w:adjustRightInd/>
        <w:spacing w:before="4" w:line="500" w:lineRule="exact"/>
        <w:ind w:left="33" w:right="62" w:firstLine="586"/>
        <w:textAlignment w:val="auto"/>
        <w:rPr>
          <w:rFonts w:hint="eastAsia" w:ascii="仿宋_GB2312" w:hAnsi="Malgun Gothic" w:eastAsia="仿宋_GB2312" w:cs="Malgun Gothic"/>
          <w:color w:val="auto"/>
          <w:spacing w:val="-2"/>
          <w:sz w:val="30"/>
          <w:szCs w:val="30"/>
          <w:highlight w:val="none"/>
          <w:shd w:val="clear" w:color="auto" w:fill="auto"/>
        </w:rPr>
      </w:pPr>
      <w:r>
        <w:rPr>
          <w:rFonts w:hint="eastAsia" w:ascii="仿宋_GB2312" w:eastAsia="仿宋_GB2312"/>
          <w:color w:val="auto"/>
          <w:spacing w:val="-1"/>
          <w:sz w:val="30"/>
          <w:szCs w:val="30"/>
          <w:highlight w:val="none"/>
          <w:shd w:val="clear" w:color="auto" w:fill="auto"/>
        </w:rPr>
        <w:t>2</w:t>
      </w:r>
      <w:r>
        <w:rPr>
          <w:rFonts w:hint="eastAsia" w:ascii="仿宋_GB2312" w:eastAsia="仿宋_GB2312"/>
          <w:color w:val="auto"/>
          <w:spacing w:val="-37"/>
          <w:sz w:val="30"/>
          <w:szCs w:val="30"/>
          <w:highlight w:val="none"/>
          <w:shd w:val="clear" w:color="auto" w:fill="auto"/>
        </w:rPr>
        <w:t xml:space="preserve"> </w:t>
      </w:r>
      <w:r>
        <w:rPr>
          <w:rFonts w:hint="eastAsia" w:ascii="仿宋_GB2312" w:hAnsi="Malgun Gothic" w:eastAsia="仿宋_GB2312" w:cs="Malgun Gothic"/>
          <w:color w:val="auto"/>
          <w:spacing w:val="-1"/>
          <w:sz w:val="30"/>
          <w:szCs w:val="30"/>
          <w:highlight w:val="none"/>
          <w:shd w:val="clear" w:color="auto" w:fill="auto"/>
        </w:rPr>
        <w:t>、</w:t>
      </w:r>
      <w:r>
        <w:rPr>
          <w:rFonts w:hint="eastAsia" w:ascii="仿宋_GB2312" w:hAnsi="Microsoft JhengHei" w:eastAsia="仿宋_GB2312" w:cs="Microsoft JhengHei"/>
          <w:color w:val="auto"/>
          <w:spacing w:val="-1"/>
          <w:sz w:val="30"/>
          <w:szCs w:val="30"/>
          <w:highlight w:val="none"/>
          <w:shd w:val="clear" w:color="auto" w:fill="auto"/>
        </w:rPr>
        <w:t>购销双</w:t>
      </w:r>
      <w:r>
        <w:rPr>
          <w:rFonts w:hint="eastAsia" w:ascii="仿宋_GB2312" w:hAnsi="Malgun Gothic" w:eastAsia="仿宋_GB2312" w:cs="Malgun Gothic"/>
          <w:color w:val="auto"/>
          <w:spacing w:val="-1"/>
          <w:sz w:val="30"/>
          <w:szCs w:val="30"/>
          <w:highlight w:val="none"/>
          <w:shd w:val="clear" w:color="auto" w:fill="auto"/>
        </w:rPr>
        <w:t>方</w:t>
      </w:r>
      <w:r>
        <w:rPr>
          <w:rFonts w:hint="eastAsia" w:ascii="仿宋_GB2312" w:hAnsi="Microsoft JhengHei" w:eastAsia="仿宋_GB2312" w:cs="Microsoft JhengHei"/>
          <w:color w:val="auto"/>
          <w:spacing w:val="-1"/>
          <w:sz w:val="30"/>
          <w:szCs w:val="30"/>
          <w:highlight w:val="none"/>
          <w:shd w:val="clear" w:color="auto" w:fill="auto"/>
        </w:rPr>
        <w:t>应</w:t>
      </w:r>
      <w:r>
        <w:rPr>
          <w:rFonts w:hint="eastAsia" w:ascii="仿宋_GB2312" w:hAnsi="Malgun Gothic" w:eastAsia="仿宋_GB2312" w:cs="Malgun Gothic"/>
          <w:color w:val="auto"/>
          <w:spacing w:val="-1"/>
          <w:sz w:val="30"/>
          <w:szCs w:val="30"/>
          <w:highlight w:val="none"/>
          <w:shd w:val="clear" w:color="auto" w:fill="auto"/>
        </w:rPr>
        <w:t>按照公正、公平及</w:t>
      </w:r>
      <w:r>
        <w:rPr>
          <w:rFonts w:hint="eastAsia" w:ascii="仿宋_GB2312" w:hAnsi="Microsoft JhengHei" w:eastAsia="仿宋_GB2312" w:cs="Microsoft JhengHei"/>
          <w:color w:val="auto"/>
          <w:spacing w:val="-1"/>
          <w:sz w:val="30"/>
          <w:szCs w:val="30"/>
          <w:highlight w:val="none"/>
          <w:shd w:val="clear" w:color="auto" w:fill="auto"/>
        </w:rPr>
        <w:t>诚实</w:t>
      </w:r>
      <w:r>
        <w:rPr>
          <w:rFonts w:hint="eastAsia" w:ascii="仿宋_GB2312" w:hAnsi="Malgun Gothic" w:eastAsia="仿宋_GB2312" w:cs="Malgun Gothic"/>
          <w:color w:val="auto"/>
          <w:spacing w:val="-1"/>
          <w:sz w:val="30"/>
          <w:szCs w:val="30"/>
          <w:highlight w:val="none"/>
          <w:shd w:val="clear" w:color="auto" w:fill="auto"/>
        </w:rPr>
        <w:t>、信用的原</w:t>
      </w:r>
      <w:r>
        <w:rPr>
          <w:rFonts w:hint="eastAsia" w:ascii="仿宋_GB2312" w:hAnsi="Microsoft JhengHei" w:eastAsia="仿宋_GB2312" w:cs="Microsoft JhengHei"/>
          <w:color w:val="auto"/>
          <w:spacing w:val="-1"/>
          <w:sz w:val="30"/>
          <w:szCs w:val="30"/>
          <w:highlight w:val="none"/>
          <w:shd w:val="clear" w:color="auto" w:fill="auto"/>
        </w:rPr>
        <w:t>则订</w:t>
      </w:r>
      <w:r>
        <w:rPr>
          <w:rFonts w:hint="eastAsia" w:ascii="仿宋_GB2312" w:hAnsi="Malgun Gothic" w:eastAsia="仿宋_GB2312" w:cs="Malgun Gothic"/>
          <w:color w:val="auto"/>
          <w:spacing w:val="-1"/>
          <w:sz w:val="30"/>
          <w:szCs w:val="30"/>
          <w:highlight w:val="none"/>
          <w:shd w:val="clear" w:color="auto" w:fill="auto"/>
        </w:rPr>
        <w:t>立煤</w:t>
      </w:r>
      <w:r>
        <w:rPr>
          <w:rFonts w:hint="eastAsia" w:ascii="仿宋_GB2312" w:hAnsi="Malgun Gothic" w:eastAsia="仿宋_GB2312" w:cs="Malgun Gothic"/>
          <w:color w:val="auto"/>
          <w:spacing w:val="-2"/>
          <w:sz w:val="30"/>
          <w:szCs w:val="30"/>
          <w:highlight w:val="none"/>
          <w:shd w:val="clear" w:color="auto" w:fill="auto"/>
        </w:rPr>
        <w:t>炭</w:t>
      </w:r>
      <w:r>
        <w:rPr>
          <w:rFonts w:hint="eastAsia" w:ascii="仿宋_GB2312" w:hAnsi="Microsoft JhengHei" w:eastAsia="仿宋_GB2312" w:cs="Microsoft JhengHei"/>
          <w:color w:val="auto"/>
          <w:spacing w:val="-2"/>
          <w:sz w:val="30"/>
          <w:szCs w:val="30"/>
          <w:highlight w:val="none"/>
          <w:shd w:val="clear" w:color="auto" w:fill="auto"/>
        </w:rPr>
        <w:t>购销</w:t>
      </w:r>
      <w:r>
        <w:rPr>
          <w:rFonts w:hint="eastAsia" w:ascii="仿宋_GB2312" w:hAnsi="Malgun Gothic" w:eastAsia="仿宋_GB2312" w:cs="Malgun Gothic"/>
          <w:color w:val="auto"/>
          <w:spacing w:val="-2"/>
          <w:sz w:val="30"/>
          <w:szCs w:val="30"/>
          <w:highlight w:val="none"/>
          <w:shd w:val="clear" w:color="auto" w:fill="auto"/>
        </w:rPr>
        <w:t>合同。</w:t>
      </w:r>
    </w:p>
    <w:p w14:paraId="59B3AA4E">
      <w:pPr>
        <w:keepNext w:val="0"/>
        <w:keepLines w:val="0"/>
        <w:pageBreakBefore w:val="0"/>
        <w:kinsoku/>
        <w:wordWrap/>
        <w:overflowPunct/>
        <w:topLinePunct w:val="0"/>
        <w:autoSpaceDE/>
        <w:autoSpaceDN/>
        <w:bidi w:val="0"/>
        <w:adjustRightInd/>
        <w:spacing w:before="4" w:line="500" w:lineRule="exact"/>
        <w:ind w:left="33" w:right="62" w:firstLine="586"/>
        <w:textAlignment w:val="auto"/>
        <w:rPr>
          <w:rFonts w:ascii="仿宋_GB2312" w:hAnsi="Malgun Gothic" w:eastAsia="仿宋_GB2312" w:cs="Malgun Gothic"/>
          <w:color w:val="auto"/>
          <w:spacing w:val="-2"/>
          <w:sz w:val="30"/>
          <w:szCs w:val="30"/>
          <w:highlight w:val="none"/>
          <w:shd w:val="clear" w:color="auto" w:fill="auto"/>
        </w:rPr>
      </w:pPr>
      <w:r>
        <w:rPr>
          <w:rFonts w:hint="eastAsia" w:ascii="仿宋_GB2312" w:hAnsi="Malgun Gothic" w:eastAsia="仿宋_GB2312" w:cs="Malgun Gothic"/>
          <w:color w:val="auto"/>
          <w:spacing w:val="-2"/>
          <w:sz w:val="30"/>
          <w:szCs w:val="30"/>
          <w:highlight w:val="none"/>
          <w:shd w:val="clear" w:color="auto" w:fill="auto"/>
          <w:lang w:val="en-US" w:eastAsia="zh-CN"/>
        </w:rPr>
        <w:t>3、</w:t>
      </w:r>
      <w:r>
        <w:rPr>
          <w:rFonts w:hint="eastAsia" w:ascii="仿宋_GB2312" w:hAnsi="Malgun Gothic" w:eastAsia="仿宋_GB2312" w:cs="Malgun Gothic"/>
          <w:color w:val="auto"/>
          <w:spacing w:val="-1"/>
          <w:sz w:val="30"/>
          <w:szCs w:val="30"/>
          <w:highlight w:val="none"/>
          <w:shd w:val="clear" w:color="auto" w:fill="auto"/>
          <w:lang w:val="en-US" w:eastAsia="zh-CN"/>
        </w:rPr>
        <w:t>陕西</w:t>
      </w:r>
      <w:bookmarkStart w:id="4" w:name="_GoBack"/>
      <w:bookmarkEnd w:id="4"/>
      <w:r>
        <w:rPr>
          <w:rFonts w:hint="eastAsia" w:ascii="仿宋_GB2312" w:hAnsi="Malgun Gothic" w:eastAsia="仿宋_GB2312" w:cs="Malgun Gothic"/>
          <w:color w:val="auto"/>
          <w:spacing w:val="-1"/>
          <w:sz w:val="30"/>
          <w:szCs w:val="30"/>
          <w:highlight w:val="none"/>
          <w:shd w:val="clear" w:color="auto" w:fill="auto"/>
        </w:rPr>
        <w:t>煤炭交易中心、</w:t>
      </w:r>
      <w:r>
        <w:rPr>
          <w:rFonts w:hint="eastAsia" w:ascii="仿宋_GB2312" w:hAnsi="Malgun Gothic" w:eastAsia="仿宋_GB2312" w:cs="Malgun Gothic"/>
          <w:color w:val="auto"/>
          <w:spacing w:val="-3"/>
          <w:sz w:val="30"/>
          <w:szCs w:val="30"/>
          <w:highlight w:val="none"/>
          <w:shd w:val="clear" w:color="auto" w:fill="auto"/>
        </w:rPr>
        <w:t>国家公共信用和地理空间信息中心开</w:t>
      </w:r>
      <w:r>
        <w:rPr>
          <w:rFonts w:hint="eastAsia" w:ascii="仿宋_GB2312" w:hAnsi="Malgun Gothic" w:eastAsia="仿宋_GB2312" w:cs="Malgun Gothic"/>
          <w:color w:val="auto"/>
          <w:spacing w:val="-2"/>
          <w:sz w:val="30"/>
          <w:szCs w:val="30"/>
          <w:highlight w:val="none"/>
          <w:shd w:val="clear" w:color="auto" w:fill="auto"/>
        </w:rPr>
        <w:t>展中</w:t>
      </w:r>
      <w:r>
        <w:rPr>
          <w:rFonts w:hint="eastAsia" w:ascii="仿宋_GB2312" w:hAnsi="Microsoft JhengHei" w:eastAsia="仿宋_GB2312" w:cs="Microsoft JhengHei"/>
          <w:color w:val="auto"/>
          <w:spacing w:val="-2"/>
          <w:sz w:val="30"/>
          <w:szCs w:val="30"/>
          <w:highlight w:val="none"/>
          <w:shd w:val="clear" w:color="auto" w:fill="auto"/>
        </w:rPr>
        <w:t>长</w:t>
      </w:r>
      <w:r>
        <w:rPr>
          <w:rFonts w:hint="eastAsia" w:ascii="仿宋_GB2312" w:hAnsi="Malgun Gothic" w:eastAsia="仿宋_GB2312" w:cs="Malgun Gothic"/>
          <w:color w:val="auto"/>
          <w:spacing w:val="-2"/>
          <w:sz w:val="30"/>
          <w:szCs w:val="30"/>
          <w:highlight w:val="none"/>
          <w:shd w:val="clear" w:color="auto" w:fill="auto"/>
        </w:rPr>
        <w:t>期合同</w:t>
      </w:r>
      <w:r>
        <w:rPr>
          <w:rFonts w:hint="eastAsia" w:ascii="仿宋_GB2312" w:hAnsi="Microsoft JhengHei" w:eastAsia="仿宋_GB2312" w:cs="Microsoft JhengHei"/>
          <w:color w:val="auto"/>
          <w:spacing w:val="-2"/>
          <w:sz w:val="30"/>
          <w:szCs w:val="30"/>
          <w:highlight w:val="none"/>
          <w:shd w:val="clear" w:color="auto" w:fill="auto"/>
        </w:rPr>
        <w:t>签订与执</w:t>
      </w:r>
      <w:r>
        <w:rPr>
          <w:rFonts w:hint="eastAsia" w:ascii="仿宋_GB2312" w:hAnsi="Malgun Gothic" w:eastAsia="仿宋_GB2312" w:cs="Malgun Gothic"/>
          <w:color w:val="auto"/>
          <w:spacing w:val="-2"/>
          <w:sz w:val="30"/>
          <w:szCs w:val="30"/>
          <w:highlight w:val="none"/>
          <w:shd w:val="clear" w:color="auto" w:fill="auto"/>
        </w:rPr>
        <w:t>行情</w:t>
      </w:r>
      <w:r>
        <w:rPr>
          <w:rFonts w:hint="eastAsia" w:ascii="仿宋_GB2312" w:hAnsi="Microsoft JhengHei" w:eastAsia="仿宋_GB2312" w:cs="Microsoft JhengHei"/>
          <w:color w:val="auto"/>
          <w:spacing w:val="-2"/>
          <w:sz w:val="30"/>
          <w:szCs w:val="30"/>
          <w:highlight w:val="none"/>
          <w:shd w:val="clear" w:color="auto" w:fill="auto"/>
        </w:rPr>
        <w:t>况</w:t>
      </w:r>
      <w:r>
        <w:rPr>
          <w:rFonts w:hint="eastAsia" w:ascii="仿宋_GB2312" w:hAnsi="Malgun Gothic" w:eastAsia="仿宋_GB2312" w:cs="Malgun Gothic"/>
          <w:color w:val="auto"/>
          <w:spacing w:val="-2"/>
          <w:sz w:val="30"/>
          <w:szCs w:val="30"/>
          <w:highlight w:val="none"/>
          <w:shd w:val="clear" w:color="auto" w:fill="auto"/>
        </w:rPr>
        <w:t>和履</w:t>
      </w:r>
      <w:r>
        <w:rPr>
          <w:rFonts w:hint="eastAsia" w:ascii="仿宋_GB2312" w:hAnsi="Microsoft JhengHei" w:eastAsia="仿宋_GB2312" w:cs="Microsoft JhengHei"/>
          <w:color w:val="auto"/>
          <w:spacing w:val="-2"/>
          <w:sz w:val="30"/>
          <w:szCs w:val="30"/>
          <w:highlight w:val="none"/>
          <w:shd w:val="clear" w:color="auto" w:fill="auto"/>
        </w:rPr>
        <w:t>约</w:t>
      </w:r>
      <w:r>
        <w:rPr>
          <w:rFonts w:hint="eastAsia" w:ascii="仿宋_GB2312" w:hAnsi="Malgun Gothic" w:eastAsia="仿宋_GB2312" w:cs="Malgun Gothic"/>
          <w:color w:val="auto"/>
          <w:spacing w:val="-2"/>
          <w:sz w:val="30"/>
          <w:szCs w:val="30"/>
          <w:highlight w:val="none"/>
          <w:shd w:val="clear" w:color="auto" w:fill="auto"/>
        </w:rPr>
        <w:t>信用信息</w:t>
      </w:r>
      <w:r>
        <w:rPr>
          <w:rFonts w:hint="eastAsia" w:ascii="仿宋_GB2312" w:hAnsi="Microsoft JhengHei" w:eastAsia="仿宋_GB2312" w:cs="Microsoft JhengHei"/>
          <w:color w:val="auto"/>
          <w:spacing w:val="-2"/>
          <w:sz w:val="30"/>
          <w:szCs w:val="30"/>
          <w:highlight w:val="none"/>
          <w:shd w:val="clear" w:color="auto" w:fill="auto"/>
        </w:rPr>
        <w:t>数</w:t>
      </w:r>
      <w:r>
        <w:rPr>
          <w:rFonts w:hint="eastAsia" w:ascii="仿宋_GB2312" w:hAnsi="Malgun Gothic" w:eastAsia="仿宋_GB2312" w:cs="Malgun Gothic"/>
          <w:color w:val="auto"/>
          <w:spacing w:val="-2"/>
          <w:sz w:val="30"/>
          <w:szCs w:val="30"/>
          <w:highlight w:val="none"/>
          <w:shd w:val="clear" w:color="auto" w:fill="auto"/>
        </w:rPr>
        <w:t>据采集工作。</w:t>
      </w:r>
    </w:p>
    <w:p w14:paraId="29C5B681">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r>
        <w:rPr>
          <w:rFonts w:hint="eastAsia" w:ascii="仿宋_GB2312" w:hAnsi="Malgun Gothic" w:eastAsia="仿宋_GB2312" w:cs="Malgun Gothic"/>
          <w:color w:val="auto"/>
          <w:sz w:val="30"/>
          <w:szCs w:val="30"/>
          <w:highlight w:val="none"/>
          <w:shd w:val="clear" w:color="auto" w:fill="auto"/>
          <w:lang w:val="en-US" w:eastAsia="zh-CN"/>
        </w:rPr>
        <w:t>4</w:t>
      </w:r>
      <w:r>
        <w:rPr>
          <w:rFonts w:hint="eastAsia" w:ascii="仿宋_GB2312" w:hAnsi="Malgun Gothic" w:eastAsia="仿宋_GB2312" w:cs="Malgun Gothic"/>
          <w:color w:val="auto"/>
          <w:sz w:val="30"/>
          <w:szCs w:val="30"/>
          <w:highlight w:val="none"/>
          <w:shd w:val="clear" w:color="auto" w:fill="auto"/>
        </w:rPr>
        <w:t>、</w:t>
      </w:r>
      <w:r>
        <w:rPr>
          <w:rFonts w:hint="eastAsia" w:ascii="仿宋_GB2312" w:hAnsi="Malgun Gothic" w:eastAsia="仿宋_GB2312" w:cs="Malgun Gothic"/>
          <w:color w:val="auto"/>
          <w:sz w:val="30"/>
          <w:szCs w:val="30"/>
          <w:highlight w:val="none"/>
          <w:shd w:val="clear" w:color="auto" w:fill="auto"/>
          <w:lang w:eastAsia="zh-CN"/>
        </w:rPr>
        <w:t>买卖双方可根据实际情况及需要，在不违反国家政策和总体原则情况下，供需双方在协商一致基础上可补充其他条款。一经签订，受国家法律保护。</w:t>
      </w:r>
    </w:p>
    <w:p w14:paraId="299F3EED">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6817009D">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25797AB1">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0BCCE08D">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6AEF2C5D">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5F53CFC5">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6D1804A4">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15E95464">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6EAB3046">
      <w:pPr>
        <w:keepNext w:val="0"/>
        <w:keepLines w:val="0"/>
        <w:pageBreakBefore w:val="0"/>
        <w:kinsoku/>
        <w:wordWrap/>
        <w:overflowPunct/>
        <w:topLinePunct w:val="0"/>
        <w:autoSpaceDE/>
        <w:autoSpaceDN/>
        <w:bidi w:val="0"/>
        <w:adjustRightInd/>
        <w:spacing w:line="500" w:lineRule="exact"/>
        <w:ind w:left="71" w:right="59" w:firstLine="555"/>
        <w:textAlignment w:val="auto"/>
        <w:rPr>
          <w:rFonts w:hint="eastAsia" w:ascii="仿宋_GB2312" w:hAnsi="Malgun Gothic" w:eastAsia="仿宋_GB2312" w:cs="Malgun Gothic"/>
          <w:color w:val="auto"/>
          <w:spacing w:val="-9"/>
          <w:sz w:val="30"/>
          <w:szCs w:val="30"/>
          <w:highlight w:val="none"/>
          <w:shd w:val="clear" w:color="auto" w:fill="auto"/>
        </w:rPr>
      </w:pPr>
    </w:p>
    <w:p w14:paraId="74752331">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0926AC2">
      <w:pPr>
        <w:keepNext w:val="0"/>
        <w:keepLines w:val="0"/>
        <w:pageBreakBefore w:val="0"/>
        <w:kinsoku/>
        <w:wordWrap/>
        <w:overflowPunct/>
        <w:topLinePunct w:val="0"/>
        <w:autoSpaceDE/>
        <w:autoSpaceDN/>
        <w:bidi w:val="0"/>
        <w:adjustRightInd/>
        <w:spacing w:line="500" w:lineRule="exact"/>
        <w:textAlignment w:val="auto"/>
        <w:rPr>
          <w:color w:val="auto"/>
          <w:highlight w:val="none"/>
          <w:shd w:val="clear" w:color="auto" w:fill="auto"/>
        </w:rPr>
      </w:pPr>
    </w:p>
    <w:p w14:paraId="6A22DF7B">
      <w:pPr>
        <w:keepNext w:val="0"/>
        <w:keepLines w:val="0"/>
        <w:pageBreakBefore w:val="0"/>
        <w:kinsoku/>
        <w:wordWrap/>
        <w:overflowPunct/>
        <w:topLinePunct w:val="0"/>
        <w:autoSpaceDE/>
        <w:autoSpaceDN/>
        <w:bidi w:val="0"/>
        <w:adjustRightInd/>
        <w:spacing w:line="500" w:lineRule="exact"/>
        <w:jc w:val="center"/>
        <w:textAlignment w:val="auto"/>
        <w:rPr>
          <w:rFonts w:hint="eastAsia" w:ascii="方正小标宋简体" w:hAnsi="黑体" w:eastAsia="方正小标宋简体" w:cs="Malgun Gothic"/>
          <w:color w:val="auto"/>
          <w:spacing w:val="-1"/>
          <w:sz w:val="32"/>
          <w:szCs w:val="32"/>
          <w:highlight w:val="none"/>
          <w:shd w:val="clear" w:color="auto" w:fill="auto"/>
        </w:rPr>
      </w:pPr>
    </w:p>
    <w:p w14:paraId="1E23C1E2">
      <w:pPr>
        <w:keepNext w:val="0"/>
        <w:keepLines w:val="0"/>
        <w:pageBreakBefore w:val="0"/>
        <w:kinsoku/>
        <w:wordWrap/>
        <w:overflowPunct/>
        <w:topLinePunct w:val="0"/>
        <w:autoSpaceDE/>
        <w:autoSpaceDN/>
        <w:bidi w:val="0"/>
        <w:adjustRightInd/>
        <w:spacing w:line="500" w:lineRule="exact"/>
        <w:jc w:val="center"/>
        <w:textAlignment w:val="auto"/>
        <w:rPr>
          <w:rFonts w:hint="eastAsia" w:ascii="方正小标宋简体" w:hAnsi="黑体" w:eastAsia="方正小标宋简体" w:cs="Malgun Gothic"/>
          <w:color w:val="auto"/>
          <w:spacing w:val="-1"/>
          <w:sz w:val="36"/>
          <w:szCs w:val="36"/>
          <w:highlight w:val="none"/>
          <w:shd w:val="clear" w:color="auto" w:fill="auto"/>
        </w:rPr>
      </w:pPr>
      <w:r>
        <w:rPr>
          <w:rFonts w:hint="eastAsia" w:ascii="方正小标宋简体" w:hAnsi="黑体" w:eastAsia="方正小标宋简体" w:cs="Malgun Gothic"/>
          <w:color w:val="auto"/>
          <w:spacing w:val="-1"/>
          <w:sz w:val="36"/>
          <w:szCs w:val="36"/>
          <w:highlight w:val="none"/>
          <w:shd w:val="clear" w:color="auto" w:fill="auto"/>
        </w:rPr>
        <w:t>煤炭</w:t>
      </w:r>
      <w:r>
        <w:rPr>
          <w:rFonts w:hint="eastAsia" w:ascii="方正小标宋简体" w:hAnsi="黑体" w:eastAsia="方正小标宋简体" w:cs="Microsoft JhengHei"/>
          <w:color w:val="auto"/>
          <w:spacing w:val="-1"/>
          <w:sz w:val="36"/>
          <w:szCs w:val="36"/>
          <w:highlight w:val="none"/>
          <w:shd w:val="clear" w:color="auto" w:fill="auto"/>
        </w:rPr>
        <w:t>购销</w:t>
      </w:r>
      <w:r>
        <w:rPr>
          <w:rFonts w:hint="eastAsia" w:ascii="方正小标宋简体" w:hAnsi="黑体" w:eastAsia="方正小标宋简体" w:cs="Malgun Gothic"/>
          <w:color w:val="auto"/>
          <w:spacing w:val="-1"/>
          <w:sz w:val="36"/>
          <w:szCs w:val="36"/>
          <w:highlight w:val="none"/>
          <w:shd w:val="clear" w:color="auto" w:fill="auto"/>
        </w:rPr>
        <w:t>中</w:t>
      </w:r>
      <w:r>
        <w:rPr>
          <w:rFonts w:hint="eastAsia" w:ascii="方正小标宋简体" w:hAnsi="黑体" w:eastAsia="方正小标宋简体" w:cs="Microsoft JhengHei"/>
          <w:color w:val="auto"/>
          <w:spacing w:val="-1"/>
          <w:sz w:val="36"/>
          <w:szCs w:val="36"/>
          <w:highlight w:val="none"/>
          <w:shd w:val="clear" w:color="auto" w:fill="auto"/>
        </w:rPr>
        <w:t>长</w:t>
      </w:r>
      <w:r>
        <w:rPr>
          <w:rFonts w:hint="eastAsia" w:ascii="方正小标宋简体" w:hAnsi="黑体" w:eastAsia="方正小标宋简体" w:cs="Malgun Gothic"/>
          <w:color w:val="auto"/>
          <w:spacing w:val="-1"/>
          <w:sz w:val="36"/>
          <w:szCs w:val="36"/>
          <w:highlight w:val="none"/>
          <w:shd w:val="clear" w:color="auto" w:fill="auto"/>
        </w:rPr>
        <w:t>期合同</w:t>
      </w:r>
    </w:p>
    <w:p w14:paraId="4F747D91">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黑体" w:eastAsia="方正小标宋简体" w:cs="Malgun Gothic"/>
          <w:color w:val="auto"/>
          <w:spacing w:val="-1"/>
          <w:sz w:val="32"/>
          <w:szCs w:val="32"/>
          <w:highlight w:val="none"/>
          <w:shd w:val="clear" w:color="auto" w:fill="auto"/>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8"/>
        <w:gridCol w:w="5744"/>
      </w:tblGrid>
      <w:tr w14:paraId="5160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796" w:type="dxa"/>
            <w:vAlign w:val="top"/>
          </w:tcPr>
          <w:p w14:paraId="7873C6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1"/>
                <w:sz w:val="24"/>
                <w:szCs w:val="24"/>
                <w:highlight w:val="none"/>
                <w:shd w:val="clear" w:color="auto" w:fill="auto"/>
                <w:vertAlign w:val="baseline"/>
              </w:rPr>
              <w:t>卖方（</w:t>
            </w:r>
            <w:r>
              <w:rPr>
                <w:rFonts w:hint="eastAsia" w:eastAsia="仿宋_GB2312" w:cs="Times New Roman"/>
                <w:b/>
                <w:bCs/>
                <w:color w:val="auto"/>
                <w:spacing w:val="-1"/>
                <w:sz w:val="24"/>
                <w:szCs w:val="24"/>
                <w:highlight w:val="none"/>
                <w:shd w:val="clear" w:color="auto" w:fill="auto"/>
                <w:vertAlign w:val="baseline"/>
                <w:lang w:eastAsia="zh-CN"/>
              </w:rPr>
              <w:t>煤炭</w:t>
            </w:r>
            <w:r>
              <w:rPr>
                <w:rFonts w:hint="default" w:ascii="Times New Roman" w:hAnsi="Times New Roman" w:eastAsia="仿宋_GB2312" w:cs="Times New Roman"/>
                <w:b/>
                <w:bCs/>
                <w:color w:val="auto"/>
                <w:spacing w:val="-1"/>
                <w:sz w:val="24"/>
                <w:szCs w:val="24"/>
                <w:highlight w:val="none"/>
                <w:shd w:val="clear" w:color="auto" w:fill="auto"/>
                <w:vertAlign w:val="baseline"/>
              </w:rPr>
              <w:t>企业） ：</w:t>
            </w:r>
          </w:p>
        </w:tc>
        <w:tc>
          <w:tcPr>
            <w:tcW w:w="5802" w:type="dxa"/>
            <w:vAlign w:val="top"/>
          </w:tcPr>
          <w:p w14:paraId="0246B6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433E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76A1B3A5">
            <w:pPr>
              <w:keepNext w:val="0"/>
              <w:keepLines w:val="0"/>
              <w:pageBreakBefore w:val="0"/>
              <w:widowControl w:val="0"/>
              <w:kinsoku/>
              <w:wordWrap/>
              <w:overflowPunct/>
              <w:topLinePunct w:val="0"/>
              <w:autoSpaceDE/>
              <w:autoSpaceDN/>
              <w:bidi w:val="0"/>
              <w:adjustRightInd/>
              <w:snapToGrid/>
              <w:spacing w:line="600" w:lineRule="exact"/>
              <w:ind w:firstLine="22"/>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地      址：</w:t>
            </w:r>
          </w:p>
        </w:tc>
        <w:tc>
          <w:tcPr>
            <w:tcW w:w="5802" w:type="dxa"/>
            <w:vAlign w:val="top"/>
          </w:tcPr>
          <w:p w14:paraId="1D6325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17ED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236338E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法定代表人：</w:t>
            </w:r>
          </w:p>
        </w:tc>
        <w:tc>
          <w:tcPr>
            <w:tcW w:w="5802" w:type="dxa"/>
            <w:vAlign w:val="top"/>
          </w:tcPr>
          <w:p w14:paraId="1CD90CB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4527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1E3967E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委托代理人：</w:t>
            </w:r>
          </w:p>
        </w:tc>
        <w:tc>
          <w:tcPr>
            <w:tcW w:w="5802" w:type="dxa"/>
            <w:vAlign w:val="top"/>
          </w:tcPr>
          <w:p w14:paraId="0042D1A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5BC1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174FA2F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开户银行：</w:t>
            </w:r>
          </w:p>
        </w:tc>
        <w:tc>
          <w:tcPr>
            <w:tcW w:w="5802" w:type="dxa"/>
            <w:vAlign w:val="top"/>
          </w:tcPr>
          <w:p w14:paraId="0E1B344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0480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4322769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银行账号：</w:t>
            </w:r>
          </w:p>
        </w:tc>
        <w:tc>
          <w:tcPr>
            <w:tcW w:w="5802" w:type="dxa"/>
            <w:vAlign w:val="top"/>
          </w:tcPr>
          <w:p w14:paraId="24F19B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62DD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7A8AA06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税    号：</w:t>
            </w:r>
          </w:p>
        </w:tc>
        <w:tc>
          <w:tcPr>
            <w:tcW w:w="5802" w:type="dxa"/>
            <w:vAlign w:val="top"/>
          </w:tcPr>
          <w:p w14:paraId="453009B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165E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2999ECF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电    话：</w:t>
            </w:r>
          </w:p>
        </w:tc>
        <w:tc>
          <w:tcPr>
            <w:tcW w:w="5802" w:type="dxa"/>
            <w:vAlign w:val="top"/>
          </w:tcPr>
          <w:p w14:paraId="0EEAE35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bl>
    <w:p w14:paraId="41CA1D7D">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方正小标宋简体" w:cs="Times New Roman"/>
          <w:b/>
          <w:bCs/>
          <w:color w:val="auto"/>
          <w:spacing w:val="-1"/>
          <w:sz w:val="36"/>
          <w:szCs w:val="36"/>
          <w:highlight w:val="none"/>
          <w:shd w:val="clear" w:color="auto" w:fill="auto"/>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8"/>
        <w:gridCol w:w="5744"/>
      </w:tblGrid>
      <w:tr w14:paraId="2AC0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628D466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1"/>
                <w:sz w:val="24"/>
                <w:szCs w:val="24"/>
                <w:highlight w:val="none"/>
                <w:shd w:val="clear" w:color="auto" w:fill="auto"/>
                <w:vertAlign w:val="baseline"/>
                <w:lang w:eastAsia="zh-CN"/>
              </w:rPr>
              <w:t>买</w:t>
            </w:r>
            <w:r>
              <w:rPr>
                <w:rFonts w:hint="default" w:ascii="Times New Roman" w:hAnsi="Times New Roman" w:eastAsia="仿宋_GB2312" w:cs="Times New Roman"/>
                <w:b/>
                <w:bCs/>
                <w:color w:val="auto"/>
                <w:spacing w:val="-1"/>
                <w:sz w:val="24"/>
                <w:szCs w:val="24"/>
                <w:highlight w:val="none"/>
                <w:shd w:val="clear" w:color="auto" w:fill="auto"/>
                <w:vertAlign w:val="baseline"/>
              </w:rPr>
              <w:t>方（</w:t>
            </w:r>
            <w:r>
              <w:rPr>
                <w:rFonts w:hint="default" w:ascii="Times New Roman" w:hAnsi="Times New Roman" w:eastAsia="仿宋_GB2312" w:cs="Times New Roman"/>
                <w:b/>
                <w:bCs/>
                <w:color w:val="auto"/>
                <w:spacing w:val="-1"/>
                <w:sz w:val="24"/>
                <w:szCs w:val="24"/>
                <w:highlight w:val="none"/>
                <w:shd w:val="clear" w:color="auto" w:fill="auto"/>
                <w:vertAlign w:val="baseline"/>
                <w:lang w:eastAsia="zh-CN"/>
              </w:rPr>
              <w:t>用煤</w:t>
            </w:r>
            <w:r>
              <w:rPr>
                <w:rFonts w:hint="default" w:ascii="Times New Roman" w:hAnsi="Times New Roman" w:eastAsia="仿宋_GB2312" w:cs="Times New Roman"/>
                <w:b/>
                <w:bCs/>
                <w:color w:val="auto"/>
                <w:spacing w:val="-1"/>
                <w:sz w:val="24"/>
                <w:szCs w:val="24"/>
                <w:highlight w:val="none"/>
                <w:shd w:val="clear" w:color="auto" w:fill="auto"/>
                <w:vertAlign w:val="baseline"/>
              </w:rPr>
              <w:t>企业） ：</w:t>
            </w:r>
          </w:p>
        </w:tc>
        <w:tc>
          <w:tcPr>
            <w:tcW w:w="5802" w:type="dxa"/>
            <w:vAlign w:val="top"/>
          </w:tcPr>
          <w:p w14:paraId="324B94D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6554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2878E337">
            <w:pPr>
              <w:keepNext w:val="0"/>
              <w:keepLines w:val="0"/>
              <w:pageBreakBefore w:val="0"/>
              <w:widowControl w:val="0"/>
              <w:kinsoku/>
              <w:wordWrap/>
              <w:overflowPunct/>
              <w:topLinePunct w:val="0"/>
              <w:autoSpaceDE/>
              <w:autoSpaceDN/>
              <w:bidi w:val="0"/>
              <w:adjustRightInd/>
              <w:snapToGrid/>
              <w:spacing w:line="600" w:lineRule="exact"/>
              <w:ind w:firstLine="22"/>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地      址：</w:t>
            </w:r>
          </w:p>
        </w:tc>
        <w:tc>
          <w:tcPr>
            <w:tcW w:w="5802" w:type="dxa"/>
            <w:vAlign w:val="top"/>
          </w:tcPr>
          <w:p w14:paraId="1D88BB6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6A73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54C8493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法定代表人：</w:t>
            </w:r>
          </w:p>
        </w:tc>
        <w:tc>
          <w:tcPr>
            <w:tcW w:w="5802" w:type="dxa"/>
            <w:vAlign w:val="top"/>
          </w:tcPr>
          <w:p w14:paraId="599DF11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7D7F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307BB75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委托代理人：</w:t>
            </w:r>
          </w:p>
        </w:tc>
        <w:tc>
          <w:tcPr>
            <w:tcW w:w="5802" w:type="dxa"/>
            <w:vAlign w:val="top"/>
          </w:tcPr>
          <w:p w14:paraId="78EC6B5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2051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362FB4D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开户银行：</w:t>
            </w:r>
          </w:p>
        </w:tc>
        <w:tc>
          <w:tcPr>
            <w:tcW w:w="5802" w:type="dxa"/>
            <w:vAlign w:val="top"/>
          </w:tcPr>
          <w:p w14:paraId="0FD4C0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7CBF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35A999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银行账号：</w:t>
            </w:r>
          </w:p>
        </w:tc>
        <w:tc>
          <w:tcPr>
            <w:tcW w:w="5802" w:type="dxa"/>
            <w:vAlign w:val="top"/>
          </w:tcPr>
          <w:p w14:paraId="575EA6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3010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7A9774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税    号：</w:t>
            </w:r>
          </w:p>
        </w:tc>
        <w:tc>
          <w:tcPr>
            <w:tcW w:w="5802" w:type="dxa"/>
            <w:vAlign w:val="top"/>
          </w:tcPr>
          <w:p w14:paraId="03B20B5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r w14:paraId="0407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6" w:type="dxa"/>
            <w:vAlign w:val="top"/>
          </w:tcPr>
          <w:p w14:paraId="5AF90C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r>
              <w:rPr>
                <w:rFonts w:hint="default" w:ascii="Times New Roman" w:hAnsi="Times New Roman" w:eastAsia="仿宋_GB2312" w:cs="Times New Roman"/>
                <w:b/>
                <w:bCs/>
                <w:color w:val="auto"/>
                <w:spacing w:val="-8"/>
                <w:sz w:val="24"/>
                <w:szCs w:val="24"/>
                <w:shd w:val="clear" w:color="auto" w:fill="auto"/>
                <w:lang w:val="en-US" w:eastAsia="zh-CN"/>
              </w:rPr>
              <w:t>电    话：</w:t>
            </w:r>
          </w:p>
        </w:tc>
        <w:tc>
          <w:tcPr>
            <w:tcW w:w="5802" w:type="dxa"/>
            <w:vAlign w:val="top"/>
          </w:tcPr>
          <w:p w14:paraId="071D05D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color w:val="auto"/>
                <w:spacing w:val="-1"/>
                <w:sz w:val="24"/>
                <w:szCs w:val="24"/>
                <w:highlight w:val="none"/>
                <w:shd w:val="clear" w:color="auto" w:fill="auto"/>
                <w:vertAlign w:val="baseline"/>
              </w:rPr>
            </w:pPr>
          </w:p>
        </w:tc>
      </w:tr>
    </w:tbl>
    <w:p w14:paraId="408F4CD1">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方正小标宋简体" w:cs="Times New Roman"/>
          <w:b/>
          <w:bCs/>
          <w:color w:val="auto"/>
          <w:spacing w:val="-1"/>
          <w:sz w:val="32"/>
          <w:szCs w:val="32"/>
          <w:highlight w:val="none"/>
          <w:shd w:val="clear" w:color="auto" w:fill="auto"/>
        </w:rPr>
      </w:pPr>
    </w:p>
    <w:p w14:paraId="137AF3E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为明确</w:t>
      </w:r>
      <w:r>
        <w:rPr>
          <w:rFonts w:hint="eastAsia" w:ascii="仿宋_GB2312" w:eastAsia="仿宋_GB2312"/>
          <w:color w:val="auto"/>
          <w:sz w:val="24"/>
          <w:highlight w:val="none"/>
          <w:shd w:val="clear" w:color="auto" w:fill="auto"/>
          <w:lang w:eastAsia="zh-CN"/>
        </w:rPr>
        <w:t>双</w:t>
      </w:r>
      <w:r>
        <w:rPr>
          <w:rFonts w:hint="eastAsia" w:ascii="仿宋_GB2312" w:eastAsia="仿宋_GB2312"/>
          <w:color w:val="auto"/>
          <w:sz w:val="24"/>
          <w:highlight w:val="none"/>
          <w:shd w:val="clear" w:color="auto" w:fill="auto"/>
        </w:rPr>
        <w:t>方的权利与义务，合同</w:t>
      </w:r>
      <w:r>
        <w:rPr>
          <w:rFonts w:hint="eastAsia" w:ascii="仿宋_GB2312" w:eastAsia="仿宋_GB2312"/>
          <w:color w:val="auto"/>
          <w:sz w:val="24"/>
          <w:highlight w:val="none"/>
          <w:shd w:val="clear" w:color="auto" w:fill="auto"/>
          <w:lang w:eastAsia="zh-CN"/>
        </w:rPr>
        <w:t>双</w:t>
      </w:r>
      <w:r>
        <w:rPr>
          <w:rFonts w:hint="eastAsia" w:ascii="仿宋_GB2312" w:eastAsia="仿宋_GB2312"/>
          <w:color w:val="auto"/>
          <w:sz w:val="24"/>
          <w:highlight w:val="none"/>
          <w:shd w:val="clear" w:color="auto" w:fill="auto"/>
        </w:rPr>
        <w:t>方在平等互利、自愿一致的基础上，就202</w:t>
      </w:r>
      <w:r>
        <w:rPr>
          <w:rFonts w:hint="eastAsia" w:ascii="仿宋_GB2312" w:eastAsia="仿宋_GB2312"/>
          <w:color w:val="auto"/>
          <w:sz w:val="24"/>
          <w:highlight w:val="none"/>
          <w:shd w:val="clear" w:color="auto" w:fill="auto"/>
          <w:lang w:val="en-US" w:eastAsia="zh-CN"/>
        </w:rPr>
        <w:t>5</w:t>
      </w:r>
      <w:r>
        <w:rPr>
          <w:rFonts w:hint="eastAsia" w:ascii="仿宋_GB2312" w:eastAsia="仿宋_GB2312"/>
          <w:color w:val="auto"/>
          <w:sz w:val="24"/>
          <w:highlight w:val="none"/>
          <w:shd w:val="clear" w:color="auto" w:fill="auto"/>
        </w:rPr>
        <w:t>年度煤炭买卖事宜，依据《中华人民共和国民法典》、经友好协商，达成一致意见，共同签订本买卖合同（以下简称“本合同”）。</w:t>
      </w:r>
    </w:p>
    <w:p w14:paraId="1115329E">
      <w:pPr>
        <w:keepNext w:val="0"/>
        <w:keepLines w:val="0"/>
        <w:pageBreakBefore w:val="0"/>
        <w:kinsoku/>
        <w:wordWrap/>
        <w:overflowPunct/>
        <w:topLinePunct w:val="0"/>
        <w:autoSpaceDE/>
        <w:autoSpaceDN/>
        <w:bidi w:val="0"/>
        <w:adjustRightInd/>
        <w:spacing w:before="240" w:line="500" w:lineRule="exact"/>
        <w:ind w:left="0" w:leftChars="0" w:firstLine="478" w:firstLineChars="170"/>
        <w:textAlignment w:val="auto"/>
        <w:rPr>
          <w:rFonts w:hint="default" w:ascii="黑体" w:eastAsia="黑体"/>
          <w:b/>
          <w:bCs/>
          <w:color w:val="auto"/>
          <w:sz w:val="28"/>
          <w:szCs w:val="28"/>
          <w:highlight w:val="none"/>
          <w:shd w:val="clear" w:color="auto" w:fill="auto"/>
          <w:lang w:val="en-US" w:eastAsia="zh-CN"/>
        </w:rPr>
      </w:pPr>
      <w:r>
        <w:rPr>
          <w:rFonts w:hint="eastAsia" w:ascii="黑体" w:eastAsia="黑体"/>
          <w:b/>
          <w:bCs/>
          <w:color w:val="auto"/>
          <w:sz w:val="28"/>
          <w:szCs w:val="28"/>
          <w:highlight w:val="none"/>
          <w:shd w:val="clear" w:color="auto" w:fill="auto"/>
        </w:rPr>
        <w:t>第一条  煤炭</w:t>
      </w:r>
      <w:r>
        <w:rPr>
          <w:rFonts w:hint="eastAsia" w:ascii="黑体" w:eastAsia="黑体"/>
          <w:b/>
          <w:bCs/>
          <w:color w:val="auto"/>
          <w:sz w:val="28"/>
          <w:szCs w:val="28"/>
          <w:highlight w:val="none"/>
          <w:shd w:val="clear" w:color="auto" w:fill="auto"/>
          <w:lang w:val="en-US" w:eastAsia="zh-CN"/>
        </w:rPr>
        <w:t>产地和</w:t>
      </w:r>
      <w:r>
        <w:rPr>
          <w:rFonts w:hint="eastAsia" w:ascii="黑体" w:eastAsia="黑体"/>
          <w:b/>
          <w:bCs/>
          <w:color w:val="auto"/>
          <w:sz w:val="28"/>
          <w:szCs w:val="28"/>
          <w:highlight w:val="none"/>
          <w:shd w:val="clear" w:color="auto" w:fill="auto"/>
        </w:rPr>
        <w:t>品</w:t>
      </w:r>
      <w:r>
        <w:rPr>
          <w:rFonts w:hint="eastAsia" w:ascii="黑体" w:eastAsia="黑体"/>
          <w:b/>
          <w:bCs/>
          <w:color w:val="auto"/>
          <w:sz w:val="28"/>
          <w:szCs w:val="28"/>
          <w:highlight w:val="none"/>
          <w:shd w:val="clear" w:color="auto" w:fill="auto"/>
          <w:lang w:val="en-US" w:eastAsia="zh-CN"/>
        </w:rPr>
        <w:t>种规格</w:t>
      </w:r>
    </w:p>
    <w:p w14:paraId="79B3E751">
      <w:pPr>
        <w:keepNext w:val="0"/>
        <w:keepLines w:val="0"/>
        <w:pageBreakBefore w:val="0"/>
        <w:kinsoku/>
        <w:wordWrap/>
        <w:overflowPunct/>
        <w:topLinePunct w:val="0"/>
        <w:autoSpaceDE/>
        <w:autoSpaceDN/>
        <w:bidi w:val="0"/>
        <w:adjustRightInd/>
        <w:spacing w:before="12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1.1 煤炭产地：</w:t>
      </w:r>
      <w:r>
        <w:rPr>
          <w:rFonts w:hint="eastAsia" w:ascii="仿宋_GB2312" w:eastAsia="仿宋_GB2312"/>
          <w:color w:val="auto"/>
          <w:sz w:val="24"/>
          <w:highlight w:val="none"/>
          <w:u w:val="single"/>
          <w:shd w:val="clear" w:color="auto" w:fill="auto"/>
        </w:rPr>
        <w:t xml:space="preserve">                 </w:t>
      </w:r>
    </w:p>
    <w:p w14:paraId="54367A70">
      <w:pPr>
        <w:keepNext w:val="0"/>
        <w:keepLines w:val="0"/>
        <w:pageBreakBefore w:val="0"/>
        <w:kinsoku/>
        <w:wordWrap/>
        <w:overflowPunct/>
        <w:topLinePunct w:val="0"/>
        <w:autoSpaceDE/>
        <w:autoSpaceDN/>
        <w:bidi w:val="0"/>
        <w:adjustRightInd/>
        <w:spacing w:before="120" w:line="500" w:lineRule="exact"/>
        <w:ind w:firstLine="960" w:firstLineChars="400"/>
        <w:textAlignment w:val="auto"/>
        <w:rPr>
          <w:rFonts w:ascii="仿宋_GB2312" w:eastAsia="仿宋_GB2312"/>
          <w:color w:val="auto"/>
          <w:sz w:val="24"/>
          <w:highlight w:val="none"/>
          <w:u w:val="single"/>
          <w:shd w:val="clear" w:color="auto" w:fill="auto"/>
        </w:rPr>
      </w:pPr>
      <w:r>
        <w:rPr>
          <w:rFonts w:hint="eastAsia" w:ascii="仿宋_GB2312" w:eastAsia="仿宋_GB2312"/>
          <w:color w:val="auto"/>
          <w:sz w:val="24"/>
          <w:highlight w:val="none"/>
          <w:shd w:val="clear" w:color="auto" w:fill="auto"/>
        </w:rPr>
        <w:t>资源矿点1：</w:t>
      </w:r>
      <w:r>
        <w:rPr>
          <w:rFonts w:hint="eastAsia" w:ascii="仿宋_GB2312" w:eastAsia="仿宋_GB2312"/>
          <w:color w:val="auto"/>
          <w:sz w:val="24"/>
          <w:highlight w:val="none"/>
          <w:u w:val="single"/>
          <w:shd w:val="clear" w:color="auto" w:fill="auto"/>
        </w:rPr>
        <w:t xml:space="preserve">                 </w:t>
      </w:r>
    </w:p>
    <w:p w14:paraId="21EC5976">
      <w:pPr>
        <w:keepNext w:val="0"/>
        <w:keepLines w:val="0"/>
        <w:pageBreakBefore w:val="0"/>
        <w:kinsoku/>
        <w:wordWrap/>
        <w:overflowPunct/>
        <w:topLinePunct w:val="0"/>
        <w:autoSpaceDE/>
        <w:autoSpaceDN/>
        <w:bidi w:val="0"/>
        <w:adjustRightInd/>
        <w:spacing w:before="120" w:line="500" w:lineRule="exact"/>
        <w:ind w:firstLine="480" w:firstLineChars="200"/>
        <w:textAlignment w:val="auto"/>
        <w:rPr>
          <w:rFonts w:ascii="仿宋_GB2312" w:eastAsia="仿宋_GB2312"/>
          <w:color w:val="auto"/>
          <w:sz w:val="24"/>
          <w:highlight w:val="none"/>
          <w:u w:val="single"/>
          <w:shd w:val="clear" w:color="auto" w:fill="auto"/>
        </w:rPr>
      </w:pPr>
      <w:r>
        <w:rPr>
          <w:rFonts w:hint="eastAsia" w:ascii="仿宋_GB2312" w:eastAsia="仿宋_GB2312"/>
          <w:color w:val="auto"/>
          <w:sz w:val="24"/>
          <w:highlight w:val="none"/>
          <w:shd w:val="clear" w:color="auto" w:fill="auto"/>
        </w:rPr>
        <w:t xml:space="preserve">    资源矿点2：</w:t>
      </w:r>
      <w:r>
        <w:rPr>
          <w:rFonts w:hint="eastAsia" w:ascii="仿宋_GB2312" w:eastAsia="仿宋_GB2312"/>
          <w:color w:val="auto"/>
          <w:sz w:val="24"/>
          <w:highlight w:val="none"/>
          <w:u w:val="single"/>
          <w:shd w:val="clear" w:color="auto" w:fill="auto"/>
        </w:rPr>
        <w:t xml:space="preserve">                 </w:t>
      </w:r>
    </w:p>
    <w:p w14:paraId="7F8E98DF">
      <w:pPr>
        <w:keepNext w:val="0"/>
        <w:keepLines w:val="0"/>
        <w:pageBreakBefore w:val="0"/>
        <w:kinsoku/>
        <w:wordWrap/>
        <w:overflowPunct/>
        <w:topLinePunct w:val="0"/>
        <w:autoSpaceDE/>
        <w:autoSpaceDN/>
        <w:bidi w:val="0"/>
        <w:adjustRightInd/>
        <w:spacing w:before="12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    资源矿点3：</w:t>
      </w:r>
      <w:r>
        <w:rPr>
          <w:rFonts w:hint="eastAsia" w:ascii="仿宋_GB2312" w:eastAsia="仿宋_GB2312"/>
          <w:color w:val="auto"/>
          <w:sz w:val="24"/>
          <w:highlight w:val="none"/>
          <w:u w:val="single"/>
          <w:shd w:val="clear" w:color="auto" w:fill="auto"/>
        </w:rPr>
        <w:t xml:space="preserve">                 </w:t>
      </w:r>
    </w:p>
    <w:p w14:paraId="0BA66327">
      <w:pPr>
        <w:keepNext w:val="0"/>
        <w:keepLines w:val="0"/>
        <w:pageBreakBefore w:val="0"/>
        <w:kinsoku/>
        <w:wordWrap/>
        <w:overflowPunct/>
        <w:topLinePunct w:val="0"/>
        <w:autoSpaceDE/>
        <w:autoSpaceDN/>
        <w:bidi w:val="0"/>
        <w:adjustRightInd/>
        <w:spacing w:before="120" w:after="12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1.2 煤炭品种和质量规格：</w:t>
      </w:r>
      <w:r>
        <w:rPr>
          <w:rFonts w:hint="eastAsia" w:ascii="仿宋_GB2312" w:eastAsia="仿宋_GB2312"/>
          <w:color w:val="auto"/>
          <w:sz w:val="24"/>
          <w:highlight w:val="none"/>
          <w:shd w:val="clear" w:color="auto" w:fill="auto"/>
          <w:lang w:eastAsia="zh-CN"/>
        </w:rPr>
        <w:t>买卖双方</w:t>
      </w:r>
      <w:r>
        <w:rPr>
          <w:rFonts w:hint="eastAsia" w:ascii="仿宋_GB2312" w:eastAsia="仿宋_GB2312"/>
          <w:color w:val="auto"/>
          <w:sz w:val="24"/>
          <w:highlight w:val="none"/>
          <w:shd w:val="clear" w:color="auto" w:fill="auto"/>
        </w:rPr>
        <w:t>自觉遵守国家六部委发布的《商品煤质量管理暂行办法》的规定，具体品种和质量规格见表1。</w:t>
      </w:r>
    </w:p>
    <w:p w14:paraId="25F4F863">
      <w:pPr>
        <w:keepNext w:val="0"/>
        <w:keepLines w:val="0"/>
        <w:pageBreakBefore w:val="0"/>
        <w:kinsoku/>
        <w:wordWrap/>
        <w:overflowPunct/>
        <w:topLinePunct w:val="0"/>
        <w:autoSpaceDE/>
        <w:autoSpaceDN/>
        <w:bidi w:val="0"/>
        <w:adjustRightInd/>
        <w:spacing w:before="120" w:after="120" w:line="500" w:lineRule="exact"/>
        <w:jc w:val="center"/>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表1：煤炭品种和质量规格表</w:t>
      </w:r>
    </w:p>
    <w:tbl>
      <w:tblPr>
        <w:tblStyle w:val="5"/>
        <w:tblW w:w="852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80"/>
        <w:gridCol w:w="1120"/>
        <w:gridCol w:w="1120"/>
        <w:gridCol w:w="1400"/>
        <w:gridCol w:w="980"/>
        <w:gridCol w:w="1400"/>
      </w:tblGrid>
      <w:tr w14:paraId="7CB9B7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25" w:type="dxa"/>
            <w:tcBorders>
              <w:top w:val="double" w:color="auto" w:sz="4" w:space="0"/>
              <w:left w:val="double" w:color="auto" w:sz="4" w:space="0"/>
              <w:bottom w:val="single" w:color="auto" w:sz="4" w:space="0"/>
              <w:right w:val="single" w:color="auto" w:sz="4" w:space="0"/>
            </w:tcBorders>
            <w:vAlign w:val="center"/>
          </w:tcPr>
          <w:p w14:paraId="0A956076">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品种</w:t>
            </w:r>
          </w:p>
        </w:tc>
        <w:tc>
          <w:tcPr>
            <w:tcW w:w="1080" w:type="dxa"/>
            <w:tcBorders>
              <w:top w:val="double" w:color="auto" w:sz="4" w:space="0"/>
              <w:left w:val="single" w:color="auto" w:sz="4" w:space="0"/>
              <w:bottom w:val="single" w:color="auto" w:sz="4" w:space="0"/>
              <w:right w:val="single" w:color="auto" w:sz="4" w:space="0"/>
            </w:tcBorders>
            <w:vAlign w:val="center"/>
          </w:tcPr>
          <w:p w14:paraId="75F8B4A9">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Mt</w:t>
            </w:r>
          </w:p>
          <w:p w14:paraId="723F6B25">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w:t>
            </w:r>
          </w:p>
        </w:tc>
        <w:tc>
          <w:tcPr>
            <w:tcW w:w="1120" w:type="dxa"/>
            <w:tcBorders>
              <w:top w:val="double" w:color="auto" w:sz="4" w:space="0"/>
              <w:left w:val="single" w:color="auto" w:sz="4" w:space="0"/>
              <w:bottom w:val="single" w:color="auto" w:sz="4" w:space="0"/>
              <w:right w:val="single" w:color="auto" w:sz="4" w:space="0"/>
            </w:tcBorders>
            <w:vAlign w:val="center"/>
          </w:tcPr>
          <w:p w14:paraId="4D3BEDFA">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Aad</w:t>
            </w:r>
          </w:p>
          <w:p w14:paraId="2A8E888F">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w:t>
            </w:r>
          </w:p>
        </w:tc>
        <w:tc>
          <w:tcPr>
            <w:tcW w:w="1120" w:type="dxa"/>
            <w:tcBorders>
              <w:top w:val="double" w:color="auto" w:sz="4" w:space="0"/>
              <w:left w:val="single" w:color="auto" w:sz="4" w:space="0"/>
              <w:bottom w:val="single" w:color="auto" w:sz="4" w:space="0"/>
              <w:right w:val="single" w:color="auto" w:sz="4" w:space="0"/>
            </w:tcBorders>
            <w:vAlign w:val="center"/>
          </w:tcPr>
          <w:p w14:paraId="7DF1871B">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Vad</w:t>
            </w:r>
          </w:p>
          <w:p w14:paraId="46B3B63B">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w:t>
            </w:r>
          </w:p>
        </w:tc>
        <w:tc>
          <w:tcPr>
            <w:tcW w:w="1400" w:type="dxa"/>
            <w:tcBorders>
              <w:top w:val="double" w:color="auto" w:sz="4" w:space="0"/>
              <w:left w:val="single" w:color="auto" w:sz="4" w:space="0"/>
              <w:bottom w:val="single" w:color="auto" w:sz="4" w:space="0"/>
              <w:right w:val="single" w:color="auto" w:sz="4" w:space="0"/>
            </w:tcBorders>
            <w:vAlign w:val="center"/>
          </w:tcPr>
          <w:p w14:paraId="7295984B">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Qnet,ar</w:t>
            </w:r>
          </w:p>
          <w:p w14:paraId="0B96682D">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(kcal/kg)</w:t>
            </w:r>
          </w:p>
        </w:tc>
        <w:tc>
          <w:tcPr>
            <w:tcW w:w="980" w:type="dxa"/>
            <w:tcBorders>
              <w:top w:val="double" w:color="auto" w:sz="4" w:space="0"/>
              <w:left w:val="single" w:color="auto" w:sz="4" w:space="0"/>
              <w:bottom w:val="single" w:color="auto" w:sz="4" w:space="0"/>
              <w:right w:val="single" w:color="auto" w:sz="4" w:space="0"/>
            </w:tcBorders>
            <w:vAlign w:val="center"/>
          </w:tcPr>
          <w:p w14:paraId="1E6148F8">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St,ar</w:t>
            </w:r>
          </w:p>
          <w:p w14:paraId="3AB86525">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w:t>
            </w:r>
          </w:p>
        </w:tc>
        <w:tc>
          <w:tcPr>
            <w:tcW w:w="1400" w:type="dxa"/>
            <w:tcBorders>
              <w:top w:val="double" w:color="auto" w:sz="4" w:space="0"/>
              <w:left w:val="single" w:color="auto" w:sz="4" w:space="0"/>
              <w:bottom w:val="single" w:color="auto" w:sz="4" w:space="0"/>
              <w:right w:val="double" w:color="auto" w:sz="4" w:space="0"/>
            </w:tcBorders>
            <w:vAlign w:val="center"/>
          </w:tcPr>
          <w:p w14:paraId="78F21321">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_GB2312" w:eastAsia="仿宋_GB2312"/>
                <w:color w:val="auto"/>
                <w:szCs w:val="21"/>
                <w:highlight w:val="none"/>
                <w:shd w:val="clear" w:color="auto" w:fill="auto"/>
              </w:rPr>
            </w:pPr>
            <w:r>
              <w:rPr>
                <w:rFonts w:hint="eastAsia" w:ascii="仿宋_GB2312" w:eastAsia="仿宋_GB2312"/>
                <w:color w:val="auto"/>
                <w:szCs w:val="21"/>
                <w:highlight w:val="none"/>
                <w:shd w:val="clear" w:color="auto" w:fill="auto"/>
              </w:rPr>
              <w:t>ST</w:t>
            </w:r>
          </w:p>
          <w:p w14:paraId="7D06706E">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_GB2312" w:eastAsia="仿宋_GB2312"/>
                <w:color w:val="auto"/>
                <w:szCs w:val="21"/>
                <w:highlight w:val="none"/>
                <w:shd w:val="clear" w:color="auto" w:fill="auto"/>
                <w:lang w:val="en-US" w:eastAsia="zh-CN"/>
              </w:rPr>
            </w:pPr>
            <w:r>
              <w:rPr>
                <w:rFonts w:hint="eastAsia" w:ascii="仿宋_GB2312" w:eastAsia="仿宋_GB2312"/>
                <w:color w:val="auto"/>
                <w:szCs w:val="21"/>
                <w:highlight w:val="none"/>
                <w:shd w:val="clear" w:color="auto" w:fill="auto"/>
                <w:lang w:val="en-US" w:eastAsia="zh-CN"/>
              </w:rPr>
              <w:t>℃</w:t>
            </w:r>
          </w:p>
        </w:tc>
      </w:tr>
      <w:tr w14:paraId="6F45F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25" w:type="dxa"/>
            <w:tcBorders>
              <w:top w:val="single" w:color="auto" w:sz="4" w:space="0"/>
              <w:left w:val="double" w:color="auto" w:sz="4" w:space="0"/>
              <w:bottom w:val="single" w:color="auto" w:sz="4" w:space="0"/>
              <w:right w:val="single" w:color="auto" w:sz="4" w:space="0"/>
            </w:tcBorders>
            <w:vAlign w:val="center"/>
          </w:tcPr>
          <w:p w14:paraId="32696E4C">
            <w:pPr>
              <w:keepNext w:val="0"/>
              <w:keepLines w:val="0"/>
              <w:pageBreakBefore w:val="0"/>
              <w:kinsoku/>
              <w:wordWrap/>
              <w:overflowPunct/>
              <w:topLinePunct w:val="0"/>
              <w:autoSpaceDE/>
              <w:autoSpaceDN/>
              <w:bidi w:val="0"/>
              <w:adjustRightInd/>
              <w:snapToGrid w:val="0"/>
              <w:spacing w:line="500" w:lineRule="exact"/>
              <w:textAlignment w:val="auto"/>
              <w:rPr>
                <w:rFonts w:ascii="仿宋_GB2312" w:eastAsia="仿宋_GB2312"/>
                <w:color w:val="auto"/>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vAlign w:val="center"/>
          </w:tcPr>
          <w:p w14:paraId="2135679F">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120" w:type="dxa"/>
            <w:tcBorders>
              <w:top w:val="single" w:color="auto" w:sz="4" w:space="0"/>
              <w:left w:val="single" w:color="auto" w:sz="4" w:space="0"/>
              <w:bottom w:val="single" w:color="auto" w:sz="4" w:space="0"/>
              <w:right w:val="single" w:color="auto" w:sz="4" w:space="0"/>
            </w:tcBorders>
            <w:vAlign w:val="center"/>
          </w:tcPr>
          <w:p w14:paraId="34B49994">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120" w:type="dxa"/>
            <w:tcBorders>
              <w:top w:val="single" w:color="auto" w:sz="4" w:space="0"/>
              <w:left w:val="single" w:color="auto" w:sz="4" w:space="0"/>
              <w:bottom w:val="single" w:color="auto" w:sz="4" w:space="0"/>
              <w:right w:val="single" w:color="auto" w:sz="4" w:space="0"/>
            </w:tcBorders>
            <w:vAlign w:val="center"/>
          </w:tcPr>
          <w:p w14:paraId="74124F73">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400" w:type="dxa"/>
            <w:tcBorders>
              <w:top w:val="single" w:color="auto" w:sz="4" w:space="0"/>
              <w:left w:val="single" w:color="auto" w:sz="4" w:space="0"/>
              <w:bottom w:val="single" w:color="auto" w:sz="4" w:space="0"/>
              <w:right w:val="single" w:color="auto" w:sz="4" w:space="0"/>
            </w:tcBorders>
            <w:vAlign w:val="center"/>
          </w:tcPr>
          <w:p w14:paraId="6EE46E35">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980" w:type="dxa"/>
            <w:tcBorders>
              <w:top w:val="single" w:color="auto" w:sz="4" w:space="0"/>
              <w:left w:val="single" w:color="auto" w:sz="4" w:space="0"/>
              <w:bottom w:val="single" w:color="auto" w:sz="4" w:space="0"/>
              <w:right w:val="single" w:color="auto" w:sz="4" w:space="0"/>
            </w:tcBorders>
            <w:vAlign w:val="center"/>
          </w:tcPr>
          <w:p w14:paraId="71E92460">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400" w:type="dxa"/>
            <w:tcBorders>
              <w:top w:val="single" w:color="auto" w:sz="4" w:space="0"/>
              <w:left w:val="single" w:color="auto" w:sz="4" w:space="0"/>
              <w:bottom w:val="single" w:color="auto" w:sz="4" w:space="0"/>
              <w:right w:val="double" w:color="auto" w:sz="4" w:space="0"/>
            </w:tcBorders>
            <w:vAlign w:val="center"/>
          </w:tcPr>
          <w:p w14:paraId="29B90FD7">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r>
      <w:tr w14:paraId="05EEA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25" w:type="dxa"/>
            <w:tcBorders>
              <w:top w:val="single" w:color="auto" w:sz="4" w:space="0"/>
              <w:left w:val="double" w:color="auto" w:sz="4" w:space="0"/>
              <w:bottom w:val="single" w:color="auto" w:sz="4" w:space="0"/>
              <w:right w:val="single" w:color="auto" w:sz="4" w:space="0"/>
            </w:tcBorders>
            <w:vAlign w:val="center"/>
          </w:tcPr>
          <w:p w14:paraId="4A93E67E">
            <w:pPr>
              <w:keepNext w:val="0"/>
              <w:keepLines w:val="0"/>
              <w:pageBreakBefore w:val="0"/>
              <w:kinsoku/>
              <w:wordWrap/>
              <w:overflowPunct/>
              <w:topLinePunct w:val="0"/>
              <w:autoSpaceDE/>
              <w:autoSpaceDN/>
              <w:bidi w:val="0"/>
              <w:adjustRightInd/>
              <w:snapToGrid w:val="0"/>
              <w:spacing w:line="500" w:lineRule="exact"/>
              <w:textAlignment w:val="auto"/>
              <w:rPr>
                <w:rFonts w:ascii="仿宋_GB2312" w:eastAsia="仿宋_GB2312"/>
                <w:color w:val="auto"/>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vAlign w:val="center"/>
          </w:tcPr>
          <w:p w14:paraId="59A9694E">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120" w:type="dxa"/>
            <w:tcBorders>
              <w:top w:val="single" w:color="auto" w:sz="4" w:space="0"/>
              <w:left w:val="single" w:color="auto" w:sz="4" w:space="0"/>
              <w:bottom w:val="single" w:color="auto" w:sz="4" w:space="0"/>
              <w:right w:val="single" w:color="auto" w:sz="4" w:space="0"/>
            </w:tcBorders>
            <w:vAlign w:val="center"/>
          </w:tcPr>
          <w:p w14:paraId="5EAB7590">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120" w:type="dxa"/>
            <w:tcBorders>
              <w:top w:val="single" w:color="auto" w:sz="4" w:space="0"/>
              <w:left w:val="single" w:color="auto" w:sz="4" w:space="0"/>
              <w:bottom w:val="single" w:color="auto" w:sz="4" w:space="0"/>
              <w:right w:val="single" w:color="auto" w:sz="4" w:space="0"/>
            </w:tcBorders>
            <w:vAlign w:val="center"/>
          </w:tcPr>
          <w:p w14:paraId="12953F21">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400" w:type="dxa"/>
            <w:tcBorders>
              <w:top w:val="single" w:color="auto" w:sz="4" w:space="0"/>
              <w:left w:val="single" w:color="auto" w:sz="4" w:space="0"/>
              <w:bottom w:val="single" w:color="auto" w:sz="4" w:space="0"/>
              <w:right w:val="single" w:color="auto" w:sz="4" w:space="0"/>
            </w:tcBorders>
            <w:vAlign w:val="center"/>
          </w:tcPr>
          <w:p w14:paraId="69597A76">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980" w:type="dxa"/>
            <w:tcBorders>
              <w:top w:val="single" w:color="auto" w:sz="4" w:space="0"/>
              <w:left w:val="single" w:color="auto" w:sz="4" w:space="0"/>
              <w:bottom w:val="single" w:color="auto" w:sz="4" w:space="0"/>
              <w:right w:val="single" w:color="auto" w:sz="4" w:space="0"/>
            </w:tcBorders>
            <w:vAlign w:val="center"/>
          </w:tcPr>
          <w:p w14:paraId="6B20A91F">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400" w:type="dxa"/>
            <w:tcBorders>
              <w:top w:val="single" w:color="auto" w:sz="4" w:space="0"/>
              <w:left w:val="single" w:color="auto" w:sz="4" w:space="0"/>
              <w:bottom w:val="single" w:color="auto" w:sz="4" w:space="0"/>
              <w:right w:val="double" w:color="auto" w:sz="4" w:space="0"/>
            </w:tcBorders>
            <w:vAlign w:val="center"/>
          </w:tcPr>
          <w:p w14:paraId="4AA90BE5">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r>
      <w:tr w14:paraId="235EC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25" w:type="dxa"/>
            <w:tcBorders>
              <w:top w:val="single" w:color="auto" w:sz="4" w:space="0"/>
              <w:left w:val="double" w:color="auto" w:sz="4" w:space="0"/>
              <w:bottom w:val="single" w:color="auto" w:sz="4" w:space="0"/>
              <w:right w:val="single" w:color="auto" w:sz="4" w:space="0"/>
            </w:tcBorders>
            <w:vAlign w:val="center"/>
          </w:tcPr>
          <w:p w14:paraId="6460713A">
            <w:pPr>
              <w:keepNext w:val="0"/>
              <w:keepLines w:val="0"/>
              <w:pageBreakBefore w:val="0"/>
              <w:kinsoku/>
              <w:wordWrap/>
              <w:overflowPunct/>
              <w:topLinePunct w:val="0"/>
              <w:autoSpaceDE/>
              <w:autoSpaceDN/>
              <w:bidi w:val="0"/>
              <w:adjustRightInd/>
              <w:snapToGrid w:val="0"/>
              <w:spacing w:line="500" w:lineRule="exact"/>
              <w:textAlignment w:val="auto"/>
              <w:rPr>
                <w:rFonts w:ascii="仿宋_GB2312" w:eastAsia="仿宋_GB2312"/>
                <w:color w:val="auto"/>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vAlign w:val="center"/>
          </w:tcPr>
          <w:p w14:paraId="61C5885A">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120" w:type="dxa"/>
            <w:tcBorders>
              <w:top w:val="single" w:color="auto" w:sz="4" w:space="0"/>
              <w:left w:val="single" w:color="auto" w:sz="4" w:space="0"/>
              <w:bottom w:val="single" w:color="auto" w:sz="4" w:space="0"/>
              <w:right w:val="single" w:color="auto" w:sz="4" w:space="0"/>
            </w:tcBorders>
            <w:vAlign w:val="center"/>
          </w:tcPr>
          <w:p w14:paraId="173BC36E">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120" w:type="dxa"/>
            <w:tcBorders>
              <w:top w:val="single" w:color="auto" w:sz="4" w:space="0"/>
              <w:left w:val="single" w:color="auto" w:sz="4" w:space="0"/>
              <w:bottom w:val="single" w:color="auto" w:sz="4" w:space="0"/>
              <w:right w:val="single" w:color="auto" w:sz="4" w:space="0"/>
            </w:tcBorders>
            <w:vAlign w:val="center"/>
          </w:tcPr>
          <w:p w14:paraId="2B241FC1">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400" w:type="dxa"/>
            <w:tcBorders>
              <w:top w:val="single" w:color="auto" w:sz="4" w:space="0"/>
              <w:left w:val="single" w:color="auto" w:sz="4" w:space="0"/>
              <w:bottom w:val="single" w:color="auto" w:sz="4" w:space="0"/>
              <w:right w:val="single" w:color="auto" w:sz="4" w:space="0"/>
            </w:tcBorders>
            <w:vAlign w:val="center"/>
          </w:tcPr>
          <w:p w14:paraId="5164B1D8">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980" w:type="dxa"/>
            <w:tcBorders>
              <w:top w:val="single" w:color="auto" w:sz="4" w:space="0"/>
              <w:left w:val="single" w:color="auto" w:sz="4" w:space="0"/>
              <w:bottom w:val="single" w:color="auto" w:sz="4" w:space="0"/>
              <w:right w:val="single" w:color="auto" w:sz="4" w:space="0"/>
            </w:tcBorders>
            <w:vAlign w:val="center"/>
          </w:tcPr>
          <w:p w14:paraId="5A783D0E">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c>
          <w:tcPr>
            <w:tcW w:w="1400" w:type="dxa"/>
            <w:tcBorders>
              <w:top w:val="single" w:color="auto" w:sz="4" w:space="0"/>
              <w:left w:val="single" w:color="auto" w:sz="4" w:space="0"/>
              <w:bottom w:val="single" w:color="auto" w:sz="4" w:space="0"/>
              <w:right w:val="double" w:color="auto" w:sz="4" w:space="0"/>
            </w:tcBorders>
            <w:vAlign w:val="center"/>
          </w:tcPr>
          <w:p w14:paraId="26D516C7">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_GB2312" w:eastAsia="仿宋_GB2312"/>
                <w:color w:val="auto"/>
                <w:szCs w:val="21"/>
                <w:highlight w:val="none"/>
                <w:shd w:val="clear" w:color="auto" w:fill="auto"/>
              </w:rPr>
            </w:pPr>
          </w:p>
        </w:tc>
      </w:tr>
    </w:tbl>
    <w:p w14:paraId="0112CDF1">
      <w:pPr>
        <w:keepNext w:val="0"/>
        <w:keepLines w:val="0"/>
        <w:pageBreakBefore w:val="0"/>
        <w:kinsoku/>
        <w:wordWrap/>
        <w:overflowPunct/>
        <w:topLinePunct w:val="0"/>
        <w:autoSpaceDE/>
        <w:autoSpaceDN/>
        <w:bidi w:val="0"/>
        <w:adjustRightInd/>
        <w:spacing w:before="24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第二条  数量及交货期</w:t>
      </w:r>
    </w:p>
    <w:p w14:paraId="08DFF99D">
      <w:pPr>
        <w:keepNext w:val="0"/>
        <w:keepLines w:val="0"/>
        <w:pageBreakBefore w:val="0"/>
        <w:kinsoku/>
        <w:wordWrap/>
        <w:overflowPunct/>
        <w:topLinePunct w:val="0"/>
        <w:autoSpaceDE/>
        <w:autoSpaceDN/>
        <w:bidi w:val="0"/>
        <w:adjustRightInd/>
        <w:spacing w:before="120" w:after="12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2.1 合同总量：</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万吨。</w:t>
      </w:r>
    </w:p>
    <w:p w14:paraId="7A363B74">
      <w:pPr>
        <w:keepNext w:val="0"/>
        <w:keepLines w:val="0"/>
        <w:pageBreakBefore w:val="0"/>
        <w:widowControl w:val="0"/>
        <w:kinsoku/>
        <w:wordWrap/>
        <w:overflowPunct/>
        <w:topLinePunct w:val="0"/>
        <w:autoSpaceDE/>
        <w:autoSpaceDN/>
        <w:bidi w:val="0"/>
        <w:adjustRightInd/>
        <w:snapToGrid/>
        <w:spacing w:before="120" w:after="120" w:line="400" w:lineRule="exact"/>
        <w:ind w:firstLine="0" w:firstLineChars="0"/>
        <w:jc w:val="center"/>
        <w:textAlignment w:val="auto"/>
        <w:rPr>
          <w:rFonts w:hint="eastAsia"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月度计划表</w:t>
      </w:r>
    </w:p>
    <w:p w14:paraId="2DFA7B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 xml:space="preserve">                                                        单位：万吨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564"/>
        <w:gridCol w:w="731"/>
        <w:gridCol w:w="606"/>
        <w:gridCol w:w="605"/>
        <w:gridCol w:w="606"/>
        <w:gridCol w:w="605"/>
        <w:gridCol w:w="606"/>
        <w:gridCol w:w="606"/>
        <w:gridCol w:w="605"/>
        <w:gridCol w:w="606"/>
        <w:gridCol w:w="605"/>
        <w:gridCol w:w="606"/>
        <w:gridCol w:w="606"/>
      </w:tblGrid>
      <w:tr w14:paraId="167E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5" w:type="dxa"/>
            <w:vMerge w:val="restart"/>
            <w:vAlign w:val="center"/>
          </w:tcPr>
          <w:p w14:paraId="50F84F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color w:val="auto"/>
                <w:sz w:val="24"/>
                <w:highlight w:val="none"/>
                <w:shd w:val="clear" w:color="auto" w:fill="auto"/>
                <w:vertAlign w:val="baseline"/>
                <w:lang w:val="en-US" w:eastAsia="zh-CN"/>
              </w:rPr>
            </w:pPr>
            <w:r>
              <w:rPr>
                <w:rFonts w:hint="eastAsia" w:ascii="仿宋_GB2312" w:eastAsia="仿宋_GB2312"/>
                <w:color w:val="auto"/>
                <w:sz w:val="24"/>
                <w:highlight w:val="none"/>
                <w:shd w:val="clear" w:color="auto" w:fill="auto"/>
                <w:vertAlign w:val="baseline"/>
                <w:lang w:val="en-US" w:eastAsia="zh-CN"/>
              </w:rPr>
              <w:t>品种</w:t>
            </w:r>
          </w:p>
        </w:tc>
        <w:tc>
          <w:tcPr>
            <w:tcW w:w="564" w:type="dxa"/>
            <w:vMerge w:val="restart"/>
            <w:vAlign w:val="center"/>
          </w:tcPr>
          <w:p w14:paraId="53D015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color w:val="auto"/>
                <w:sz w:val="24"/>
                <w:highlight w:val="none"/>
                <w:shd w:val="clear" w:color="auto" w:fill="auto"/>
                <w:vertAlign w:val="baseline"/>
                <w:lang w:val="en-US" w:eastAsia="zh-CN"/>
              </w:rPr>
            </w:pPr>
            <w:r>
              <w:rPr>
                <w:rFonts w:hint="eastAsia" w:ascii="仿宋_GB2312" w:eastAsia="仿宋_GB2312"/>
                <w:color w:val="auto"/>
                <w:sz w:val="24"/>
                <w:highlight w:val="none"/>
                <w:shd w:val="clear" w:color="auto" w:fill="auto"/>
                <w:vertAlign w:val="baseline"/>
                <w:lang w:val="en-US" w:eastAsia="zh-CN"/>
              </w:rPr>
              <w:t>小计</w:t>
            </w:r>
          </w:p>
        </w:tc>
        <w:tc>
          <w:tcPr>
            <w:tcW w:w="7393" w:type="dxa"/>
            <w:gridSpan w:val="12"/>
            <w:vAlign w:val="center"/>
          </w:tcPr>
          <w:p w14:paraId="2BF63C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color w:val="auto"/>
                <w:sz w:val="24"/>
                <w:highlight w:val="none"/>
                <w:shd w:val="clear" w:color="auto" w:fill="auto"/>
                <w:vertAlign w:val="baseline"/>
                <w:lang w:val="en-US" w:eastAsia="zh-CN"/>
              </w:rPr>
            </w:pPr>
            <w:r>
              <w:rPr>
                <w:rFonts w:hint="eastAsia" w:ascii="仿宋_GB2312" w:eastAsia="仿宋_GB2312"/>
                <w:color w:val="auto"/>
                <w:sz w:val="24"/>
                <w:highlight w:val="none"/>
                <w:shd w:val="clear" w:color="auto" w:fill="auto"/>
                <w:vertAlign w:val="baseline"/>
                <w:lang w:val="en-US" w:eastAsia="zh-CN"/>
              </w:rPr>
              <w:t>月度分解量</w:t>
            </w:r>
          </w:p>
        </w:tc>
      </w:tr>
      <w:tr w14:paraId="3231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65" w:type="dxa"/>
            <w:vMerge w:val="continue"/>
            <w:vAlign w:val="center"/>
          </w:tcPr>
          <w:p w14:paraId="5631A2D9">
            <w:pPr>
              <w:keepNext w:val="0"/>
              <w:keepLines w:val="0"/>
              <w:pageBreakBefore w:val="0"/>
              <w:kinsoku/>
              <w:wordWrap/>
              <w:overflowPunct/>
              <w:topLinePunct w:val="0"/>
              <w:autoSpaceDE/>
              <w:autoSpaceDN/>
              <w:bidi w:val="0"/>
              <w:adjustRightInd/>
              <w:spacing w:before="120" w:after="120" w:line="500" w:lineRule="exact"/>
              <w:textAlignment w:val="auto"/>
              <w:rPr>
                <w:rFonts w:ascii="仿宋_GB2312" w:eastAsia="仿宋_GB2312"/>
                <w:color w:val="auto"/>
                <w:sz w:val="24"/>
                <w:highlight w:val="none"/>
                <w:shd w:val="clear" w:color="auto" w:fill="auto"/>
                <w:vertAlign w:val="baseline"/>
              </w:rPr>
            </w:pPr>
          </w:p>
        </w:tc>
        <w:tc>
          <w:tcPr>
            <w:tcW w:w="564" w:type="dxa"/>
            <w:vMerge w:val="continue"/>
            <w:vAlign w:val="center"/>
          </w:tcPr>
          <w:p w14:paraId="020101A9">
            <w:pPr>
              <w:keepNext w:val="0"/>
              <w:keepLines w:val="0"/>
              <w:pageBreakBefore w:val="0"/>
              <w:kinsoku/>
              <w:wordWrap/>
              <w:overflowPunct/>
              <w:topLinePunct w:val="0"/>
              <w:autoSpaceDE/>
              <w:autoSpaceDN/>
              <w:bidi w:val="0"/>
              <w:adjustRightInd/>
              <w:spacing w:before="120" w:after="120" w:line="500" w:lineRule="exact"/>
              <w:textAlignment w:val="auto"/>
              <w:rPr>
                <w:rFonts w:ascii="仿宋_GB2312" w:eastAsia="仿宋_GB2312"/>
                <w:color w:val="auto"/>
                <w:sz w:val="24"/>
                <w:highlight w:val="none"/>
                <w:shd w:val="clear" w:color="auto" w:fill="auto"/>
                <w:vertAlign w:val="baseline"/>
              </w:rPr>
            </w:pPr>
          </w:p>
        </w:tc>
        <w:tc>
          <w:tcPr>
            <w:tcW w:w="731" w:type="dxa"/>
            <w:vAlign w:val="center"/>
          </w:tcPr>
          <w:p w14:paraId="7E5C31DC">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1月</w:t>
            </w:r>
          </w:p>
        </w:tc>
        <w:tc>
          <w:tcPr>
            <w:tcW w:w="606" w:type="dxa"/>
            <w:vAlign w:val="center"/>
          </w:tcPr>
          <w:p w14:paraId="49E4CF95">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2月</w:t>
            </w:r>
          </w:p>
        </w:tc>
        <w:tc>
          <w:tcPr>
            <w:tcW w:w="605" w:type="dxa"/>
            <w:vAlign w:val="center"/>
          </w:tcPr>
          <w:p w14:paraId="76978BF0">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3月</w:t>
            </w:r>
          </w:p>
        </w:tc>
        <w:tc>
          <w:tcPr>
            <w:tcW w:w="606" w:type="dxa"/>
            <w:vAlign w:val="center"/>
          </w:tcPr>
          <w:p w14:paraId="0D991898">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4月</w:t>
            </w:r>
          </w:p>
        </w:tc>
        <w:tc>
          <w:tcPr>
            <w:tcW w:w="605" w:type="dxa"/>
            <w:vAlign w:val="center"/>
          </w:tcPr>
          <w:p w14:paraId="633FE641">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5月</w:t>
            </w:r>
          </w:p>
        </w:tc>
        <w:tc>
          <w:tcPr>
            <w:tcW w:w="606" w:type="dxa"/>
            <w:vAlign w:val="center"/>
          </w:tcPr>
          <w:p w14:paraId="1F142B9F">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6月</w:t>
            </w:r>
          </w:p>
        </w:tc>
        <w:tc>
          <w:tcPr>
            <w:tcW w:w="606" w:type="dxa"/>
            <w:vAlign w:val="center"/>
          </w:tcPr>
          <w:p w14:paraId="22842345">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7月</w:t>
            </w:r>
          </w:p>
        </w:tc>
        <w:tc>
          <w:tcPr>
            <w:tcW w:w="605" w:type="dxa"/>
            <w:vAlign w:val="center"/>
          </w:tcPr>
          <w:p w14:paraId="7291D514">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8月</w:t>
            </w:r>
          </w:p>
        </w:tc>
        <w:tc>
          <w:tcPr>
            <w:tcW w:w="606" w:type="dxa"/>
            <w:vAlign w:val="center"/>
          </w:tcPr>
          <w:p w14:paraId="5FDCC70D">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9月</w:t>
            </w:r>
          </w:p>
        </w:tc>
        <w:tc>
          <w:tcPr>
            <w:tcW w:w="605" w:type="dxa"/>
            <w:vAlign w:val="center"/>
          </w:tcPr>
          <w:p w14:paraId="4ADA3DDE">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10月</w:t>
            </w:r>
          </w:p>
        </w:tc>
        <w:tc>
          <w:tcPr>
            <w:tcW w:w="606" w:type="dxa"/>
            <w:vAlign w:val="center"/>
          </w:tcPr>
          <w:p w14:paraId="2E98DF1C">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11月</w:t>
            </w:r>
          </w:p>
        </w:tc>
        <w:tc>
          <w:tcPr>
            <w:tcW w:w="606" w:type="dxa"/>
            <w:vAlign w:val="center"/>
          </w:tcPr>
          <w:p w14:paraId="2B33C7E1">
            <w:pPr>
              <w:keepNext w:val="0"/>
              <w:keepLines w:val="0"/>
              <w:pageBreakBefore w:val="0"/>
              <w:kinsoku/>
              <w:wordWrap/>
              <w:overflowPunct/>
              <w:topLinePunct w:val="0"/>
              <w:autoSpaceDE/>
              <w:autoSpaceDN/>
              <w:bidi w:val="0"/>
              <w:adjustRightInd/>
              <w:spacing w:before="120" w:after="120" w:line="500" w:lineRule="exact"/>
              <w:jc w:val="center"/>
              <w:textAlignment w:val="auto"/>
              <w:rPr>
                <w:rFonts w:hint="default" w:ascii="仿宋_GB2312" w:eastAsia="仿宋_GB2312"/>
                <w:color w:val="auto"/>
                <w:sz w:val="18"/>
                <w:szCs w:val="18"/>
                <w:highlight w:val="none"/>
                <w:shd w:val="clear" w:color="auto" w:fill="auto"/>
                <w:vertAlign w:val="baseline"/>
                <w:lang w:val="en-US" w:eastAsia="zh-CN"/>
              </w:rPr>
            </w:pPr>
            <w:r>
              <w:rPr>
                <w:rFonts w:hint="eastAsia" w:ascii="仿宋_GB2312" w:eastAsia="仿宋_GB2312"/>
                <w:color w:val="auto"/>
                <w:sz w:val="18"/>
                <w:szCs w:val="18"/>
                <w:highlight w:val="none"/>
                <w:shd w:val="clear" w:color="auto" w:fill="auto"/>
                <w:vertAlign w:val="baseline"/>
                <w:lang w:val="en-US" w:eastAsia="zh-CN"/>
              </w:rPr>
              <w:t>12月</w:t>
            </w:r>
          </w:p>
        </w:tc>
      </w:tr>
      <w:tr w14:paraId="5F1D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565" w:type="dxa"/>
            <w:vAlign w:val="center"/>
          </w:tcPr>
          <w:p w14:paraId="2C91E629">
            <w:pPr>
              <w:keepNext w:val="0"/>
              <w:keepLines w:val="0"/>
              <w:pageBreakBefore w:val="0"/>
              <w:kinsoku/>
              <w:wordWrap/>
              <w:overflowPunct/>
              <w:topLinePunct w:val="0"/>
              <w:autoSpaceDE/>
              <w:autoSpaceDN/>
              <w:bidi w:val="0"/>
              <w:adjustRightInd/>
              <w:spacing w:before="120" w:after="120" w:line="500" w:lineRule="exact"/>
              <w:textAlignment w:val="auto"/>
              <w:rPr>
                <w:rFonts w:ascii="仿宋_GB2312" w:eastAsia="仿宋_GB2312"/>
                <w:color w:val="auto"/>
                <w:sz w:val="24"/>
                <w:highlight w:val="none"/>
                <w:shd w:val="clear" w:color="auto" w:fill="auto"/>
                <w:vertAlign w:val="baseline"/>
              </w:rPr>
            </w:pPr>
          </w:p>
        </w:tc>
        <w:tc>
          <w:tcPr>
            <w:tcW w:w="564" w:type="dxa"/>
            <w:vAlign w:val="center"/>
          </w:tcPr>
          <w:p w14:paraId="29CD3B5D">
            <w:pPr>
              <w:keepNext w:val="0"/>
              <w:keepLines w:val="0"/>
              <w:pageBreakBefore w:val="0"/>
              <w:kinsoku/>
              <w:wordWrap/>
              <w:overflowPunct/>
              <w:topLinePunct w:val="0"/>
              <w:autoSpaceDE/>
              <w:autoSpaceDN/>
              <w:bidi w:val="0"/>
              <w:adjustRightInd/>
              <w:spacing w:before="120" w:after="120" w:line="500" w:lineRule="exact"/>
              <w:textAlignment w:val="auto"/>
              <w:rPr>
                <w:rFonts w:ascii="仿宋_GB2312" w:eastAsia="仿宋_GB2312"/>
                <w:color w:val="auto"/>
                <w:sz w:val="24"/>
                <w:highlight w:val="none"/>
                <w:shd w:val="clear" w:color="auto" w:fill="auto"/>
                <w:vertAlign w:val="baseline"/>
              </w:rPr>
            </w:pPr>
          </w:p>
        </w:tc>
        <w:tc>
          <w:tcPr>
            <w:tcW w:w="731" w:type="dxa"/>
            <w:vAlign w:val="center"/>
          </w:tcPr>
          <w:p w14:paraId="1D5E4C11">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56C9BA51">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5" w:type="dxa"/>
            <w:vAlign w:val="center"/>
          </w:tcPr>
          <w:p w14:paraId="5D88EEA6">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0B4801F7">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5" w:type="dxa"/>
            <w:vAlign w:val="center"/>
          </w:tcPr>
          <w:p w14:paraId="503E1A13">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3168A61B">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36BE66F4">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5" w:type="dxa"/>
            <w:vAlign w:val="center"/>
          </w:tcPr>
          <w:p w14:paraId="32346455">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599F031C">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5" w:type="dxa"/>
            <w:vAlign w:val="center"/>
          </w:tcPr>
          <w:p w14:paraId="245C0F6E">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3757AD84">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c>
          <w:tcPr>
            <w:tcW w:w="606" w:type="dxa"/>
            <w:vAlign w:val="center"/>
          </w:tcPr>
          <w:p w14:paraId="1186A7DE">
            <w:pPr>
              <w:keepNext w:val="0"/>
              <w:keepLines w:val="0"/>
              <w:pageBreakBefore w:val="0"/>
              <w:kinsoku/>
              <w:wordWrap/>
              <w:overflowPunct/>
              <w:topLinePunct w:val="0"/>
              <w:autoSpaceDE/>
              <w:autoSpaceDN/>
              <w:bidi w:val="0"/>
              <w:adjustRightInd/>
              <w:spacing w:before="120" w:after="120" w:line="500" w:lineRule="exact"/>
              <w:textAlignment w:val="auto"/>
              <w:rPr>
                <w:rFonts w:hint="eastAsia" w:ascii="仿宋_GB2312" w:eastAsia="仿宋_GB2312"/>
                <w:color w:val="auto"/>
                <w:sz w:val="24"/>
                <w:highlight w:val="none"/>
                <w:shd w:val="clear" w:color="auto" w:fill="auto"/>
                <w:vertAlign w:val="baseline"/>
                <w:lang w:val="en-US" w:eastAsia="zh-CN"/>
              </w:rPr>
            </w:pPr>
          </w:p>
        </w:tc>
      </w:tr>
    </w:tbl>
    <w:p w14:paraId="7575AB0A">
      <w:pPr>
        <w:keepNext w:val="0"/>
        <w:keepLines w:val="0"/>
        <w:pageBreakBefore w:val="0"/>
        <w:kinsoku/>
        <w:wordWrap/>
        <w:overflowPunct/>
        <w:topLinePunct w:val="0"/>
        <w:autoSpaceDE/>
        <w:autoSpaceDN/>
        <w:bidi w:val="0"/>
        <w:adjustRightInd w:val="0"/>
        <w:snapToGrid w:val="0"/>
        <w:spacing w:before="120" w:beforeLines="0" w:after="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2.2 合同交货期：</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年</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月</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日至</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年</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月</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日。</w:t>
      </w:r>
    </w:p>
    <w:p w14:paraId="557A737D">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olor w:val="auto"/>
          <w:sz w:val="24"/>
          <w:highlight w:val="none"/>
          <w:shd w:val="clear" w:color="auto" w:fill="auto"/>
        </w:rPr>
        <w:t xml:space="preserve">2.3 </w:t>
      </w:r>
      <w:bookmarkStart w:id="1" w:name="OLE_LINK3"/>
      <w:r>
        <w:rPr>
          <w:rFonts w:hint="eastAsia" w:ascii="仿宋_GB2312" w:eastAsia="仿宋_GB2312"/>
          <w:color w:val="auto"/>
          <w:sz w:val="24"/>
          <w:highlight w:val="none"/>
          <w:shd w:val="clear" w:color="auto" w:fill="auto"/>
        </w:rPr>
        <w:t>月度计划：由买卖双方协商确认。原则上按年度合同总量的月均分解量严格履约</w:t>
      </w:r>
      <w:bookmarkEnd w:id="1"/>
      <w:r>
        <w:rPr>
          <w:rFonts w:hint="eastAsia" w:ascii="仿宋_GB2312" w:eastAsia="仿宋_GB2312"/>
          <w:color w:val="auto"/>
          <w:sz w:val="24"/>
          <w:highlight w:val="none"/>
          <w:shd w:val="clear" w:color="auto" w:fill="auto"/>
        </w:rPr>
        <w:t>。</w:t>
      </w:r>
      <w:r>
        <w:rPr>
          <w:rFonts w:hint="eastAsia" w:ascii="仿宋_GB2312" w:eastAsia="仿宋_GB2312" w:cs="Times New Roman"/>
          <w:color w:val="auto"/>
          <w:kern w:val="2"/>
          <w:sz w:val="24"/>
          <w:szCs w:val="24"/>
          <w:highlight w:val="none"/>
          <w:u w:val="none"/>
          <w:shd w:val="clear" w:color="auto" w:fill="auto"/>
          <w:lang w:val="en-US" w:eastAsia="zh-CN" w:bidi="ar-SA"/>
        </w:rPr>
        <w:t>月度履约率不低于80%，季度履约率不低于90%，全年原则上足额完成履约任务，迎峰度夏度冬期间进一步提高履约比例。</w:t>
      </w:r>
    </w:p>
    <w:p w14:paraId="7645B253">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 xml:space="preserve">2.4 </w:t>
      </w:r>
      <w:r>
        <w:rPr>
          <w:rFonts w:hint="eastAsia" w:ascii="仿宋_GB2312" w:eastAsia="仿宋_GB2312"/>
          <w:color w:val="auto"/>
          <w:sz w:val="24"/>
          <w:highlight w:val="none"/>
          <w:shd w:val="clear" w:color="auto" w:fill="auto"/>
          <w:lang w:val="en-US" w:eastAsia="zh-CN"/>
        </w:rPr>
        <w:t>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65F7CAD3">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hint="eastAsia" w:ascii="黑体" w:eastAsia="黑体"/>
          <w:b/>
          <w:bCs/>
          <w:color w:val="auto"/>
          <w:sz w:val="28"/>
          <w:szCs w:val="28"/>
          <w:highlight w:val="none"/>
          <w:shd w:val="clear" w:color="auto" w:fill="auto"/>
          <w:lang w:eastAsia="zh-CN"/>
        </w:rPr>
      </w:pPr>
      <w:r>
        <w:rPr>
          <w:rFonts w:hint="eastAsia" w:ascii="黑体" w:eastAsia="黑体"/>
          <w:b/>
          <w:bCs/>
          <w:color w:val="auto"/>
          <w:sz w:val="28"/>
          <w:szCs w:val="28"/>
          <w:highlight w:val="none"/>
          <w:shd w:val="clear" w:color="auto" w:fill="auto"/>
        </w:rPr>
        <w:t>第三条  交货方式和运输</w:t>
      </w:r>
      <w:r>
        <w:rPr>
          <w:rFonts w:hint="eastAsia" w:ascii="黑体" w:eastAsia="黑体"/>
          <w:b/>
          <w:bCs/>
          <w:color w:val="auto"/>
          <w:sz w:val="28"/>
          <w:szCs w:val="28"/>
          <w:highlight w:val="none"/>
          <w:shd w:val="clear" w:color="auto" w:fill="auto"/>
          <w:lang w:eastAsia="zh-CN"/>
        </w:rPr>
        <w:t>（</w:t>
      </w:r>
      <w:r>
        <w:rPr>
          <w:rFonts w:hint="eastAsia" w:ascii="黑体" w:eastAsia="黑体"/>
          <w:b/>
          <w:bCs/>
          <w:color w:val="auto"/>
          <w:sz w:val="28"/>
          <w:szCs w:val="28"/>
          <w:highlight w:val="none"/>
          <w:shd w:val="clear" w:color="auto" w:fill="auto"/>
          <w:lang w:val="en-US" w:eastAsia="zh-CN"/>
        </w:rPr>
        <w:t>可根据实际业务需求，选择或更改本条中交货方式、运输方式以及有关运输条款</w:t>
      </w:r>
      <w:r>
        <w:rPr>
          <w:rFonts w:hint="eastAsia" w:ascii="黑体" w:eastAsia="黑体"/>
          <w:b/>
          <w:bCs/>
          <w:color w:val="auto"/>
          <w:sz w:val="28"/>
          <w:szCs w:val="28"/>
          <w:highlight w:val="none"/>
          <w:shd w:val="clear" w:color="auto" w:fill="auto"/>
          <w:lang w:eastAsia="zh-CN"/>
        </w:rPr>
        <w:t>）</w:t>
      </w:r>
    </w:p>
    <w:p w14:paraId="50828C9D">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3.1 交货方式：</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（离岸平仓交货/产地车板交货/产地坑口交货/到厂交货/到岸仓底交货等）。</w:t>
      </w:r>
    </w:p>
    <w:p w14:paraId="007B21C6">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hAnsi="宋体"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3.2 </w:t>
      </w:r>
      <w:r>
        <w:rPr>
          <w:rFonts w:hint="eastAsia" w:ascii="仿宋_GB2312" w:hAnsi="宋体" w:eastAsia="仿宋_GB2312"/>
          <w:color w:val="auto"/>
          <w:sz w:val="24"/>
          <w:highlight w:val="none"/>
          <w:shd w:val="clear" w:color="auto" w:fill="auto"/>
        </w:rPr>
        <w:t>运输方式：</w:t>
      </w:r>
      <w:r>
        <w:rPr>
          <w:rFonts w:hint="eastAsia" w:ascii="仿宋_GB2312" w:hAnsi="宋体" w:eastAsia="仿宋_GB2312"/>
          <w:color w:val="auto"/>
          <w:sz w:val="24"/>
          <w:highlight w:val="none"/>
          <w:u w:val="single"/>
          <w:shd w:val="clear" w:color="auto" w:fill="auto"/>
        </w:rPr>
        <w:t xml:space="preserve">       </w:t>
      </w:r>
      <w:r>
        <w:rPr>
          <w:rFonts w:hint="eastAsia" w:ascii="仿宋_GB2312" w:hAnsi="宋体" w:eastAsia="仿宋_GB2312"/>
          <w:color w:val="auto"/>
          <w:sz w:val="24"/>
          <w:highlight w:val="none"/>
          <w:shd w:val="clear" w:color="auto" w:fill="auto"/>
        </w:rPr>
        <w:t>（水路运输/汽车运输/火车运输等）</w:t>
      </w:r>
    </w:p>
    <w:p w14:paraId="1537CB14">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3.2.1</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公路直达运输，承运单位和运费承担由买卖双方协商确定。</w:t>
      </w:r>
    </w:p>
    <w:p w14:paraId="78E6A20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3.2.2</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火车运输，由卖方向铁路部门提报运输计划，运费承担由买卖双方协商确定。</w:t>
      </w:r>
    </w:p>
    <w:p w14:paraId="69DE0F16">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3.2.3</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水路运输，承运单位和运费承担由买卖双方协商确定。</w:t>
      </w:r>
    </w:p>
    <w:p w14:paraId="29705D01">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lang w:eastAsia="zh-CN"/>
        </w:rPr>
      </w:pPr>
      <w:r>
        <w:rPr>
          <w:rFonts w:hint="eastAsia" w:ascii="仿宋_GB2312" w:eastAsia="仿宋_GB2312"/>
          <w:color w:val="auto"/>
          <w:sz w:val="24"/>
          <w:highlight w:val="none"/>
          <w:shd w:val="clear" w:color="auto" w:fill="auto"/>
        </w:rPr>
        <w:t>3.2.3.1</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承运单位由买方指定的，买方需在受载船舶到达装运港前</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个自然日向卖方报船，同时保证船舶资料齐全、安全合规，符合海事部门的相关规定</w:t>
      </w:r>
      <w:r>
        <w:rPr>
          <w:rFonts w:hint="eastAsia" w:ascii="仿宋_GB2312" w:eastAsia="仿宋_GB2312"/>
          <w:color w:val="auto"/>
          <w:sz w:val="24"/>
          <w:highlight w:val="none"/>
          <w:shd w:val="clear" w:color="auto" w:fill="auto"/>
          <w:lang w:eastAsia="zh-CN"/>
        </w:rPr>
        <w:t>。</w:t>
      </w:r>
    </w:p>
    <w:p w14:paraId="7356034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lang w:eastAsia="zh-CN"/>
        </w:rPr>
      </w:pPr>
      <w:r>
        <w:rPr>
          <w:rFonts w:hint="eastAsia" w:ascii="仿宋_GB2312" w:eastAsia="仿宋_GB2312"/>
          <w:color w:val="auto"/>
          <w:sz w:val="24"/>
          <w:highlight w:val="none"/>
          <w:shd w:val="clear" w:color="auto" w:fill="auto"/>
        </w:rPr>
        <w:t>3.2.3.2</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承运单位由卖方指定的，卖方应在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日前向买方提供装船计划，并在受载船舶到达接卸港前</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日向买方通报船期动态</w:t>
      </w:r>
      <w:r>
        <w:rPr>
          <w:rFonts w:hint="eastAsia" w:ascii="仿宋_GB2312" w:eastAsia="仿宋_GB2312"/>
          <w:color w:val="auto"/>
          <w:sz w:val="24"/>
          <w:highlight w:val="none"/>
          <w:shd w:val="clear" w:color="auto" w:fill="auto"/>
          <w:lang w:eastAsia="zh-CN"/>
        </w:rPr>
        <w:t>。</w:t>
      </w:r>
    </w:p>
    <w:p w14:paraId="7EA185C2">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3.2.3.3</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在装船过程中，买卖双方均有到现场进行数质量跟踪和检测监督的权利。</w:t>
      </w:r>
    </w:p>
    <w:p w14:paraId="48CC98F4">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hAnsi="宋体" w:eastAsia="仿宋_GB2312"/>
          <w:color w:val="auto"/>
          <w:sz w:val="24"/>
          <w:highlight w:val="none"/>
          <w:shd w:val="clear" w:color="auto" w:fill="auto"/>
        </w:rPr>
        <w:t>3.3</w:t>
      </w:r>
      <w:r>
        <w:rPr>
          <w:rFonts w:hint="eastAsia" w:ascii="仿宋_GB2312" w:hAnsi="宋体"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卖方每月应协调发货人按合同约定数量及时发货；买方每月应协调收货人按合同约定数量及时收货，完成交收。</w:t>
      </w:r>
    </w:p>
    <w:p w14:paraId="40E163DD">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3.4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285867AB">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hint="eastAsia" w:ascii="黑体" w:eastAsia="黑体"/>
          <w:b/>
          <w:bCs/>
          <w:color w:val="auto"/>
          <w:sz w:val="28"/>
          <w:szCs w:val="28"/>
          <w:highlight w:val="none"/>
          <w:shd w:val="clear" w:color="auto" w:fill="auto"/>
          <w:lang w:eastAsia="zh-CN"/>
        </w:rPr>
      </w:pPr>
      <w:r>
        <w:rPr>
          <w:rFonts w:hint="eastAsia" w:ascii="黑体" w:eastAsia="黑体"/>
          <w:b/>
          <w:bCs/>
          <w:color w:val="auto"/>
          <w:sz w:val="28"/>
          <w:szCs w:val="28"/>
          <w:highlight w:val="none"/>
          <w:shd w:val="clear" w:color="auto" w:fill="auto"/>
        </w:rPr>
        <w:t>第四条  价格</w:t>
      </w:r>
      <w:r>
        <w:rPr>
          <w:rFonts w:hint="eastAsia" w:ascii="黑体" w:eastAsia="黑体"/>
          <w:b/>
          <w:bCs/>
          <w:color w:val="auto"/>
          <w:sz w:val="28"/>
          <w:szCs w:val="28"/>
          <w:highlight w:val="none"/>
          <w:shd w:val="clear" w:color="auto" w:fill="auto"/>
          <w:lang w:eastAsia="zh-CN"/>
        </w:rPr>
        <w:t>（</w:t>
      </w:r>
      <w:r>
        <w:rPr>
          <w:rFonts w:hint="eastAsia" w:ascii="黑体" w:eastAsia="黑体"/>
          <w:b/>
          <w:bCs/>
          <w:color w:val="auto"/>
          <w:sz w:val="28"/>
          <w:szCs w:val="28"/>
          <w:highlight w:val="none"/>
          <w:shd w:val="clear" w:color="auto" w:fill="auto"/>
          <w:lang w:val="en-US" w:eastAsia="zh-CN"/>
        </w:rPr>
        <w:t>可根据交货方式选择对应的定价方式</w:t>
      </w:r>
      <w:r>
        <w:rPr>
          <w:rFonts w:hint="eastAsia" w:ascii="黑体" w:eastAsia="黑体"/>
          <w:b/>
          <w:bCs/>
          <w:color w:val="auto"/>
          <w:sz w:val="28"/>
          <w:szCs w:val="28"/>
          <w:highlight w:val="none"/>
          <w:shd w:val="clear" w:color="auto" w:fill="auto"/>
          <w:lang w:eastAsia="zh-CN"/>
        </w:rPr>
        <w:t>）</w:t>
      </w:r>
    </w:p>
    <w:p w14:paraId="7C551D8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4.1 结算价格 = 合同价格 + 质量调整价 </w:t>
      </w:r>
    </w:p>
    <w:p w14:paraId="3EF32062">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4.2 合同价格</w:t>
      </w:r>
    </w:p>
    <w:p w14:paraId="6035EE0F">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none"/>
          <w:shd w:val="clear" w:color="auto" w:fill="auto"/>
          <w:lang w:val="en-US" w:eastAsia="zh-CN"/>
        </w:rPr>
      </w:pPr>
      <w:r>
        <w:rPr>
          <w:rFonts w:hint="eastAsia" w:ascii="仿宋_GB2312" w:eastAsia="仿宋_GB2312"/>
          <w:color w:val="auto"/>
          <w:kern w:val="2"/>
          <w:sz w:val="24"/>
          <w:szCs w:val="24"/>
          <w:highlight w:val="none"/>
          <w:u w:val="none"/>
          <w:shd w:val="clear" w:color="auto" w:fill="auto"/>
        </w:rPr>
        <w:t>合同价格</w:t>
      </w:r>
      <w:r>
        <w:rPr>
          <w:rFonts w:hint="eastAsia" w:ascii="仿宋_GB2312" w:eastAsia="仿宋_GB2312"/>
          <w:color w:val="auto"/>
          <w:kern w:val="2"/>
          <w:sz w:val="24"/>
          <w:szCs w:val="24"/>
          <w:highlight w:val="none"/>
          <w:u w:val="none"/>
          <w:shd w:val="clear" w:color="auto" w:fill="auto"/>
          <w:lang w:eastAsia="zh-CN"/>
        </w:rPr>
        <w:t>（</w:t>
      </w:r>
      <w:r>
        <w:rPr>
          <w:rFonts w:hint="eastAsia" w:ascii="仿宋_GB2312" w:eastAsia="仿宋_GB2312"/>
          <w:color w:val="auto"/>
          <w:kern w:val="2"/>
          <w:sz w:val="24"/>
          <w:szCs w:val="24"/>
          <w:highlight w:val="none"/>
          <w:u w:val="none"/>
          <w:shd w:val="clear" w:color="auto" w:fill="auto"/>
          <w:lang w:val="en-US" w:eastAsia="zh-CN"/>
        </w:rPr>
        <w:t>增值税率13%）=货物含税价格 + 运输费用含税价格 + 港口中转费含税价格。</w:t>
      </w:r>
    </w:p>
    <w:p w14:paraId="7E03D551">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single"/>
          <w:shd w:val="clear" w:color="auto" w:fill="auto"/>
          <w:lang w:val="en-US" w:eastAsia="zh-CN"/>
        </w:rPr>
      </w:pPr>
      <w:r>
        <w:rPr>
          <w:rFonts w:hint="eastAsia" w:ascii="仿宋_GB2312" w:eastAsia="仿宋_GB2312"/>
          <w:color w:val="auto"/>
          <w:kern w:val="2"/>
          <w:sz w:val="24"/>
          <w:szCs w:val="24"/>
          <w:highlight w:val="none"/>
          <w:shd w:val="clear" w:color="auto" w:fill="auto"/>
        </w:rPr>
        <w:t xml:space="preserve">4.2.1 </w:t>
      </w:r>
      <w:r>
        <w:rPr>
          <w:rFonts w:hint="eastAsia" w:ascii="仿宋_GB2312" w:eastAsia="仿宋_GB2312"/>
          <w:color w:val="auto"/>
          <w:kern w:val="2"/>
          <w:sz w:val="24"/>
          <w:szCs w:val="24"/>
          <w:highlight w:val="none"/>
          <w:u w:val="none"/>
          <w:shd w:val="clear" w:color="auto" w:fill="auto"/>
          <w:lang w:val="en-US" w:eastAsia="zh-CN"/>
        </w:rPr>
        <w:t>货物含税价格：</w:t>
      </w:r>
      <w:r>
        <w:rPr>
          <w:rFonts w:hint="eastAsia" w:ascii="仿宋_GB2312" w:eastAsia="仿宋_GB2312"/>
          <w:color w:val="auto"/>
          <w:kern w:val="2"/>
          <w:sz w:val="24"/>
          <w:szCs w:val="24"/>
          <w:highlight w:val="none"/>
          <w:u w:val="single"/>
          <w:shd w:val="clear" w:color="auto" w:fill="auto"/>
          <w:lang w:val="en-US" w:eastAsia="zh-CN"/>
        </w:rPr>
        <w:t xml:space="preserve">                                          </w:t>
      </w:r>
      <w:r>
        <w:rPr>
          <w:rFonts w:hint="eastAsia" w:ascii="仿宋_GB2312" w:eastAsia="仿宋_GB2312"/>
          <w:color w:val="auto"/>
          <w:kern w:val="2"/>
          <w:sz w:val="24"/>
          <w:szCs w:val="24"/>
          <w:highlight w:val="none"/>
          <w:u w:val="none"/>
          <w:shd w:val="clear" w:color="auto" w:fill="auto"/>
          <w:lang w:val="en-US" w:eastAsia="zh-CN"/>
        </w:rPr>
        <w:t>。</w:t>
      </w:r>
    </w:p>
    <w:p w14:paraId="704EDFCD">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eastAsia="仿宋_GB2312"/>
          <w:b w:val="0"/>
          <w:color w:val="auto"/>
          <w:sz w:val="24"/>
          <w:highlight w:val="none"/>
          <w:u w:val="single"/>
          <w:shd w:val="clear" w:color="auto" w:fill="auto"/>
          <w:lang w:eastAsia="zh-CN"/>
        </w:rPr>
      </w:pPr>
      <w:r>
        <w:rPr>
          <w:rFonts w:hint="eastAsia" w:ascii="仿宋_GB2312" w:eastAsia="仿宋_GB2312"/>
          <w:color w:val="auto"/>
          <w:kern w:val="2"/>
          <w:sz w:val="24"/>
          <w:szCs w:val="24"/>
          <w:highlight w:val="none"/>
          <w:shd w:val="clear" w:color="auto" w:fill="auto"/>
          <w:lang w:val="en-US" w:eastAsia="zh-CN"/>
        </w:rPr>
        <w:t xml:space="preserve">4.2.1.1 </w:t>
      </w:r>
      <w:r>
        <w:rPr>
          <w:rFonts w:hint="eastAsia" w:ascii="仿宋_GB2312" w:eastAsia="仿宋_GB2312"/>
          <w:b w:val="0"/>
          <w:color w:val="auto"/>
          <w:sz w:val="24"/>
          <w:highlight w:val="none"/>
          <w:u w:val="none"/>
          <w:shd w:val="clear" w:color="auto" w:fill="auto"/>
          <w:lang w:eastAsia="zh-CN"/>
        </w:rPr>
        <w:t>中长期合同电煤价格坚持优质优价原则。</w:t>
      </w:r>
    </w:p>
    <w:p w14:paraId="17AF444F">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kern w:val="2"/>
          <w:sz w:val="24"/>
          <w:szCs w:val="24"/>
          <w:highlight w:val="none"/>
          <w:shd w:val="clear" w:color="auto" w:fill="auto"/>
        </w:rPr>
      </w:pPr>
      <w:r>
        <w:rPr>
          <w:rFonts w:hint="eastAsia" w:ascii="仿宋_GB2312" w:eastAsia="仿宋_GB2312"/>
          <w:color w:val="auto"/>
          <w:kern w:val="2"/>
          <w:sz w:val="24"/>
          <w:szCs w:val="24"/>
          <w:highlight w:val="none"/>
          <w:shd w:val="clear" w:color="auto" w:fill="auto"/>
          <w:lang w:val="en-US" w:eastAsia="zh-CN"/>
        </w:rPr>
        <w:t xml:space="preserve">4.2.1.2 </w:t>
      </w:r>
      <w:r>
        <w:rPr>
          <w:rFonts w:hint="eastAsia" w:ascii="仿宋_GB2312" w:eastAsia="仿宋_GB2312"/>
          <w:color w:val="auto"/>
          <w:kern w:val="2"/>
          <w:sz w:val="24"/>
          <w:szCs w:val="24"/>
          <w:highlight w:val="none"/>
          <w:shd w:val="clear" w:color="auto" w:fill="auto"/>
        </w:rPr>
        <w:t>港口定价机制为</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rPr>
        <w:t>基准价+浮动价</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rPr>
        <w:t>，</w:t>
      </w:r>
      <w:r>
        <w:rPr>
          <w:rFonts w:hint="eastAsia" w:ascii="仿宋_GB2312" w:hAnsi="Times New Roman" w:eastAsia="仿宋_GB2312" w:cs="Times New Roman"/>
          <w:color w:val="auto"/>
          <w:kern w:val="2"/>
          <w:sz w:val="24"/>
          <w:szCs w:val="24"/>
          <w:highlight w:val="none"/>
          <w:shd w:val="clear" w:color="auto" w:fill="auto"/>
          <w:lang w:val="en-US" w:eastAsia="zh-CN"/>
        </w:rPr>
        <w:t>热值5500千卡/千克基准价：675元/吨</w:t>
      </w:r>
      <w:r>
        <w:rPr>
          <w:rFonts w:hint="eastAsia" w:ascii="仿宋_GB2312" w:eastAsia="仿宋_GB2312"/>
          <w:color w:val="auto"/>
          <w:kern w:val="2"/>
          <w:sz w:val="24"/>
          <w:szCs w:val="24"/>
          <w:highlight w:val="none"/>
          <w:shd w:val="clear" w:color="auto" w:fill="auto"/>
        </w:rPr>
        <w:t>；浮动价实行月度调整，当月浮动价按全国煤炭交易中心综合价格指数</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rPr>
        <w:t>NCEI</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rPr>
        <w:t>、环渤海动力煤综合价格指数</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lang w:val="en-US" w:eastAsia="zh-CN"/>
        </w:rPr>
        <w:t>BSPI</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rPr>
        <w:t>、CCTD秦皇岛动力煤综合交易价格指数</w:t>
      </w:r>
      <w:r>
        <w:rPr>
          <w:rFonts w:hint="eastAsia" w:ascii="仿宋_GB2312" w:eastAsia="仿宋_GB2312"/>
          <w:color w:val="auto"/>
          <w:kern w:val="2"/>
          <w:sz w:val="24"/>
          <w:szCs w:val="24"/>
          <w:highlight w:val="none"/>
          <w:shd w:val="clear" w:color="auto" w:fill="auto"/>
          <w:lang w:eastAsia="zh-CN"/>
        </w:rPr>
        <w:t>、</w:t>
      </w:r>
      <w:r>
        <w:rPr>
          <w:rFonts w:hint="eastAsia" w:ascii="仿宋_GB2312" w:eastAsia="仿宋_GB2312"/>
          <w:color w:val="auto"/>
          <w:kern w:val="2"/>
          <w:sz w:val="24"/>
          <w:szCs w:val="24"/>
          <w:highlight w:val="none"/>
          <w:shd w:val="clear" w:color="auto" w:fill="auto"/>
          <w:lang w:val="en-US" w:eastAsia="zh-CN"/>
        </w:rPr>
        <w:t>中国电煤采购价格指数（CECI）</w:t>
      </w:r>
      <w:r>
        <w:rPr>
          <w:rFonts w:hint="eastAsia" w:ascii="仿宋_GB2312" w:eastAsia="仿宋_GB2312"/>
          <w:color w:val="auto"/>
          <w:kern w:val="2"/>
          <w:sz w:val="24"/>
          <w:szCs w:val="24"/>
          <w:highlight w:val="none"/>
          <w:shd w:val="clear" w:color="auto" w:fill="auto"/>
        </w:rPr>
        <w:t>综合确定</w:t>
      </w:r>
      <w:r>
        <w:rPr>
          <w:rFonts w:hint="eastAsia" w:ascii="仿宋_GB2312" w:eastAsia="仿宋_GB2312"/>
          <w:color w:val="auto"/>
          <w:kern w:val="2"/>
          <w:sz w:val="24"/>
          <w:szCs w:val="24"/>
          <w:highlight w:val="none"/>
          <w:shd w:val="clear" w:color="auto" w:fill="auto"/>
          <w:lang w:eastAsia="zh-CN"/>
        </w:rPr>
        <w:t>，不超过明确的合理区间</w:t>
      </w:r>
      <w:r>
        <w:rPr>
          <w:rFonts w:hint="eastAsia" w:ascii="仿宋_GB2312" w:eastAsia="仿宋_GB2312"/>
          <w:color w:val="auto"/>
          <w:kern w:val="2"/>
          <w:sz w:val="24"/>
          <w:szCs w:val="24"/>
          <w:highlight w:val="none"/>
          <w:shd w:val="clear" w:color="auto" w:fill="auto"/>
        </w:rPr>
        <w:t>。选取以上</w:t>
      </w:r>
      <w:r>
        <w:rPr>
          <w:rFonts w:hint="eastAsia" w:ascii="仿宋_GB2312" w:eastAsia="仿宋_GB2312"/>
          <w:color w:val="auto"/>
          <w:kern w:val="2"/>
          <w:sz w:val="24"/>
          <w:szCs w:val="24"/>
          <w:highlight w:val="none"/>
          <w:shd w:val="clear" w:color="auto" w:fill="auto"/>
          <w:lang w:val="en-US" w:eastAsia="zh-CN"/>
        </w:rPr>
        <w:t>4</w:t>
      </w:r>
      <w:r>
        <w:rPr>
          <w:rFonts w:hint="eastAsia" w:ascii="仿宋_GB2312" w:eastAsia="仿宋_GB2312"/>
          <w:color w:val="auto"/>
          <w:kern w:val="2"/>
          <w:sz w:val="24"/>
          <w:szCs w:val="24"/>
          <w:highlight w:val="none"/>
          <w:shd w:val="clear" w:color="auto" w:fill="auto"/>
        </w:rPr>
        <w:t>个指数每月最后一</w:t>
      </w:r>
      <w:r>
        <w:rPr>
          <w:rFonts w:hint="eastAsia" w:ascii="仿宋_GB2312" w:eastAsia="仿宋_GB2312"/>
          <w:color w:val="auto"/>
          <w:kern w:val="2"/>
          <w:sz w:val="24"/>
          <w:szCs w:val="24"/>
          <w:highlight w:val="none"/>
          <w:u w:val="none"/>
          <w:shd w:val="clear" w:color="auto" w:fill="auto"/>
          <w:lang w:val="en-US" w:eastAsia="zh-CN"/>
        </w:rPr>
        <w:t>期</w:t>
      </w:r>
      <w:r>
        <w:rPr>
          <w:rFonts w:hint="eastAsia" w:ascii="仿宋_GB2312" w:eastAsia="仿宋_GB2312"/>
          <w:color w:val="auto"/>
          <w:kern w:val="2"/>
          <w:sz w:val="24"/>
          <w:szCs w:val="24"/>
          <w:highlight w:val="none"/>
          <w:shd w:val="clear" w:color="auto" w:fill="auto"/>
        </w:rPr>
        <w:t>价格，按同等权重确定指数综合价格。每月中长期合同价格最终以全国煤炭交易中心按月发布的价格为准。</w:t>
      </w:r>
    </w:p>
    <w:p w14:paraId="7F35C965">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single"/>
          <w:shd w:val="clear" w:color="auto" w:fill="auto"/>
          <w:lang w:val="en-US" w:eastAsia="zh-CN"/>
        </w:rPr>
      </w:pPr>
      <w:r>
        <w:rPr>
          <w:rFonts w:hint="eastAsia" w:ascii="仿宋_GB2312" w:eastAsia="仿宋_GB2312"/>
          <w:color w:val="auto"/>
          <w:kern w:val="2"/>
          <w:sz w:val="24"/>
          <w:szCs w:val="24"/>
          <w:highlight w:val="none"/>
          <w:shd w:val="clear" w:color="auto" w:fill="auto"/>
          <w:lang w:val="en-US" w:eastAsia="zh-CN"/>
        </w:rPr>
        <w:t xml:space="preserve">4.2.1.3 </w:t>
      </w:r>
      <w:r>
        <w:rPr>
          <w:rFonts w:hint="eastAsia" w:ascii="仿宋_GB2312" w:eastAsia="仿宋_GB2312"/>
          <w:color w:val="auto"/>
          <w:kern w:val="2"/>
          <w:sz w:val="24"/>
          <w:szCs w:val="24"/>
          <w:highlight w:val="none"/>
          <w:shd w:val="clear" w:color="auto" w:fill="auto"/>
        </w:rPr>
        <w:t>坑口定价机制为按照《国家发展改革委关于进一步完善煤炭市场价格形成机制的通知》（发改价格〔2022〕303号）、地方人民政府和有关部门明确的价格合理区间。</w:t>
      </w:r>
    </w:p>
    <w:p w14:paraId="1ECD4066">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single"/>
          <w:shd w:val="clear" w:color="auto" w:fill="auto"/>
          <w:lang w:val="en-US" w:eastAsia="zh-CN"/>
        </w:rPr>
      </w:pPr>
      <w:r>
        <w:rPr>
          <w:rFonts w:hint="eastAsia" w:ascii="仿宋_GB2312" w:eastAsia="仿宋_GB2312"/>
          <w:color w:val="auto"/>
          <w:kern w:val="2"/>
          <w:sz w:val="24"/>
          <w:szCs w:val="24"/>
          <w:highlight w:val="none"/>
          <w:shd w:val="clear" w:color="auto" w:fill="auto"/>
          <w:lang w:val="en-US" w:eastAsia="zh-CN"/>
        </w:rPr>
        <w:t xml:space="preserve">4.2.1.4 </w:t>
      </w:r>
      <w:r>
        <w:rPr>
          <w:rFonts w:hint="eastAsia" w:ascii="仿宋_GB2312" w:eastAsia="仿宋_GB2312"/>
          <w:color w:val="auto"/>
          <w:kern w:val="2"/>
          <w:sz w:val="24"/>
          <w:szCs w:val="24"/>
          <w:highlight w:val="none"/>
          <w:u w:val="none"/>
          <w:shd w:val="clear" w:color="auto" w:fill="auto"/>
          <w:lang w:val="en-US" w:eastAsia="zh-CN"/>
        </w:rPr>
        <w:t>对于在车板、到厂等环节销售的煤炭，扣除流通环节合理费用后，折算的出矿价或港口价也应在合理区间内。</w:t>
      </w:r>
    </w:p>
    <w:p w14:paraId="0711788F">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single"/>
          <w:shd w:val="clear" w:color="auto" w:fill="auto"/>
          <w:lang w:val="en-US" w:eastAsia="zh-CN"/>
        </w:rPr>
      </w:pPr>
      <w:r>
        <w:rPr>
          <w:rFonts w:hint="eastAsia" w:ascii="仿宋_GB2312" w:eastAsia="仿宋_GB2312"/>
          <w:color w:val="auto"/>
          <w:kern w:val="2"/>
          <w:sz w:val="24"/>
          <w:szCs w:val="24"/>
          <w:highlight w:val="none"/>
          <w:u w:val="none"/>
          <w:shd w:val="clear" w:color="auto" w:fill="auto"/>
          <w:lang w:val="en-US" w:eastAsia="zh-CN"/>
        </w:rPr>
        <w:t>4.2.2 运输费用含税价格：</w:t>
      </w:r>
      <w:r>
        <w:rPr>
          <w:rFonts w:hint="eastAsia" w:ascii="仿宋_GB2312" w:eastAsia="仿宋_GB2312"/>
          <w:color w:val="auto"/>
          <w:kern w:val="2"/>
          <w:sz w:val="24"/>
          <w:szCs w:val="24"/>
          <w:highlight w:val="none"/>
          <w:u w:val="single"/>
          <w:shd w:val="clear" w:color="auto" w:fill="auto"/>
          <w:lang w:val="en-US" w:eastAsia="zh-CN"/>
        </w:rPr>
        <w:t xml:space="preserve">                                 </w:t>
      </w:r>
      <w:r>
        <w:rPr>
          <w:rFonts w:hint="eastAsia" w:ascii="仿宋_GB2312" w:eastAsia="仿宋_GB2312"/>
          <w:color w:val="auto"/>
          <w:kern w:val="2"/>
          <w:sz w:val="24"/>
          <w:szCs w:val="24"/>
          <w:highlight w:val="none"/>
          <w:u w:val="none"/>
          <w:shd w:val="clear" w:color="auto" w:fill="auto"/>
          <w:lang w:val="en-US" w:eastAsia="zh-CN"/>
        </w:rPr>
        <w:t>。</w:t>
      </w:r>
    </w:p>
    <w:p w14:paraId="529638A1">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none"/>
          <w:shd w:val="clear" w:color="auto" w:fill="auto"/>
          <w:lang w:val="en-US" w:eastAsia="zh-CN"/>
        </w:rPr>
      </w:pPr>
      <w:r>
        <w:rPr>
          <w:rFonts w:hint="eastAsia" w:ascii="仿宋_GB2312" w:eastAsia="仿宋_GB2312"/>
          <w:color w:val="auto"/>
          <w:kern w:val="2"/>
          <w:sz w:val="24"/>
          <w:szCs w:val="24"/>
          <w:highlight w:val="none"/>
          <w:u w:val="none"/>
          <w:shd w:val="clear" w:color="auto" w:fill="auto"/>
          <w:lang w:val="en-US" w:eastAsia="zh-CN"/>
        </w:rPr>
        <w:t>运输费用价格应符合市场实际行情，汽车运费、铁路运费以实际发生运费为准；船运费用应参考上海航交所同期同类船型、航线指数价格。</w:t>
      </w:r>
    </w:p>
    <w:p w14:paraId="0320F3DD">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single"/>
          <w:shd w:val="clear" w:color="auto" w:fill="auto"/>
          <w:lang w:val="en-US" w:eastAsia="zh-CN"/>
        </w:rPr>
      </w:pPr>
      <w:r>
        <w:rPr>
          <w:rFonts w:hint="eastAsia" w:ascii="仿宋_GB2312" w:eastAsia="仿宋_GB2312"/>
          <w:color w:val="auto"/>
          <w:kern w:val="2"/>
          <w:sz w:val="24"/>
          <w:szCs w:val="24"/>
          <w:highlight w:val="none"/>
          <w:u w:val="none"/>
          <w:shd w:val="clear" w:color="auto" w:fill="auto"/>
          <w:lang w:val="en-US" w:eastAsia="zh-CN"/>
        </w:rPr>
        <w:t>4.2.3 港口中转费含税价格：</w:t>
      </w:r>
      <w:r>
        <w:rPr>
          <w:rFonts w:hint="eastAsia" w:ascii="仿宋_GB2312" w:eastAsia="仿宋_GB2312"/>
          <w:color w:val="auto"/>
          <w:kern w:val="2"/>
          <w:sz w:val="24"/>
          <w:szCs w:val="24"/>
          <w:highlight w:val="none"/>
          <w:u w:val="single"/>
          <w:shd w:val="clear" w:color="auto" w:fill="auto"/>
          <w:lang w:val="en-US" w:eastAsia="zh-CN"/>
        </w:rPr>
        <w:t xml:space="preserve">                                 </w:t>
      </w:r>
      <w:r>
        <w:rPr>
          <w:rFonts w:hint="eastAsia" w:ascii="仿宋_GB2312" w:eastAsia="仿宋_GB2312"/>
          <w:color w:val="auto"/>
          <w:kern w:val="2"/>
          <w:sz w:val="24"/>
          <w:szCs w:val="24"/>
          <w:highlight w:val="none"/>
          <w:u w:val="none"/>
          <w:shd w:val="clear" w:color="auto" w:fill="auto"/>
          <w:lang w:val="en-US" w:eastAsia="zh-CN"/>
        </w:rPr>
        <w:t>。</w:t>
      </w:r>
    </w:p>
    <w:p w14:paraId="795FC103">
      <w:pPr>
        <w:pStyle w:val="8"/>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kern w:val="2"/>
          <w:sz w:val="24"/>
          <w:szCs w:val="24"/>
          <w:highlight w:val="none"/>
          <w:u w:val="none"/>
          <w:shd w:val="clear" w:color="auto" w:fill="auto"/>
          <w:lang w:val="en-US" w:eastAsia="zh-CN"/>
        </w:rPr>
      </w:pPr>
      <w:r>
        <w:rPr>
          <w:rFonts w:hint="eastAsia" w:ascii="仿宋_GB2312" w:eastAsia="仿宋_GB2312"/>
          <w:color w:val="auto"/>
          <w:kern w:val="2"/>
          <w:sz w:val="24"/>
          <w:szCs w:val="24"/>
          <w:highlight w:val="none"/>
          <w:u w:val="none"/>
          <w:shd w:val="clear" w:color="auto" w:fill="auto"/>
          <w:lang w:val="en-US" w:eastAsia="zh-CN"/>
        </w:rPr>
        <w:t>港口中转费用根据港口协议约定价格。</w:t>
      </w:r>
    </w:p>
    <w:p w14:paraId="1A71BB40">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4.3 质量调整价：</w:t>
      </w:r>
    </w:p>
    <w:p w14:paraId="24513D73">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hAnsi="宋体" w:eastAsia="仿宋_GB2312"/>
          <w:color w:val="auto"/>
          <w:sz w:val="24"/>
          <w:highlight w:val="none"/>
          <w:shd w:val="clear" w:color="auto" w:fill="auto"/>
          <w:lang w:eastAsia="zh-CN"/>
        </w:rPr>
      </w:pPr>
      <w:r>
        <w:rPr>
          <w:rFonts w:hint="eastAsia" w:ascii="仿宋_GB2312" w:eastAsia="仿宋_GB2312"/>
          <w:color w:val="auto"/>
          <w:sz w:val="24"/>
          <w:highlight w:val="none"/>
          <w:shd w:val="clear" w:color="auto" w:fill="auto"/>
        </w:rPr>
        <w:t>质量调整价</w:t>
      </w:r>
      <w:r>
        <w:rPr>
          <w:rFonts w:hint="eastAsia" w:ascii="仿宋_GB2312" w:eastAsia="仿宋_GB2312"/>
          <w:color w:val="auto"/>
          <w:sz w:val="24"/>
          <w:highlight w:val="none"/>
          <w:shd w:val="clear" w:color="auto" w:fill="auto"/>
          <w:lang w:eastAsia="zh-CN"/>
        </w:rPr>
        <w:t>包括</w:t>
      </w:r>
      <w:r>
        <w:rPr>
          <w:rFonts w:hint="eastAsia" w:ascii="仿宋_GB2312" w:eastAsia="仿宋_GB2312"/>
          <w:color w:val="auto"/>
          <w:sz w:val="24"/>
          <w:highlight w:val="none"/>
          <w:shd w:val="clear" w:color="auto" w:fill="auto"/>
        </w:rPr>
        <w:t>发热量调价</w:t>
      </w:r>
      <w:r>
        <w:rPr>
          <w:rFonts w:hint="eastAsia" w:ascii="仿宋_GB2312" w:eastAsia="仿宋_GB2312"/>
          <w:color w:val="auto"/>
          <w:kern w:val="2"/>
          <w:sz w:val="24"/>
          <w:szCs w:val="24"/>
          <w:highlight w:val="none"/>
          <w:u w:val="none"/>
          <w:shd w:val="clear" w:color="auto" w:fill="auto"/>
          <w:lang w:val="en-US" w:eastAsia="zh-CN"/>
        </w:rPr>
        <w:t>、</w:t>
      </w:r>
      <w:r>
        <w:rPr>
          <w:rFonts w:hint="eastAsia" w:ascii="仿宋_GB2312" w:eastAsia="仿宋_GB2312"/>
          <w:color w:val="auto"/>
          <w:sz w:val="24"/>
          <w:highlight w:val="none"/>
          <w:u w:val="none"/>
          <w:shd w:val="clear" w:color="auto" w:fill="auto"/>
        </w:rPr>
        <w:t>硫</w:t>
      </w:r>
      <w:r>
        <w:rPr>
          <w:rFonts w:hint="eastAsia" w:ascii="仿宋_GB2312" w:eastAsia="仿宋_GB2312"/>
          <w:color w:val="auto"/>
          <w:sz w:val="24"/>
          <w:highlight w:val="none"/>
          <w:shd w:val="clear" w:color="auto" w:fill="auto"/>
        </w:rPr>
        <w:t>分调价</w:t>
      </w:r>
      <w:r>
        <w:rPr>
          <w:rFonts w:hint="eastAsia" w:ascii="仿宋_GB2312" w:eastAsia="仿宋_GB2312"/>
          <w:color w:val="auto"/>
          <w:kern w:val="2"/>
          <w:sz w:val="24"/>
          <w:szCs w:val="24"/>
          <w:highlight w:val="none"/>
          <w:u w:val="none"/>
          <w:shd w:val="clear" w:color="auto" w:fill="auto"/>
          <w:lang w:val="en-US" w:eastAsia="zh-CN"/>
        </w:rPr>
        <w:t>、</w:t>
      </w:r>
      <w:r>
        <w:rPr>
          <w:rFonts w:hint="eastAsia" w:ascii="仿宋_GB2312" w:eastAsia="仿宋_GB2312"/>
          <w:color w:val="auto"/>
          <w:sz w:val="24"/>
          <w:highlight w:val="none"/>
          <w:shd w:val="clear" w:color="auto" w:fill="auto"/>
        </w:rPr>
        <w:t>灰分调价</w:t>
      </w:r>
      <w:r>
        <w:rPr>
          <w:rFonts w:hint="eastAsia" w:ascii="仿宋_GB2312" w:eastAsia="仿宋_GB2312"/>
          <w:color w:val="auto"/>
          <w:kern w:val="2"/>
          <w:sz w:val="24"/>
          <w:szCs w:val="24"/>
          <w:highlight w:val="none"/>
          <w:u w:val="none"/>
          <w:shd w:val="clear" w:color="auto" w:fill="auto"/>
          <w:lang w:val="en-US" w:eastAsia="zh-CN"/>
        </w:rPr>
        <w:t>和</w:t>
      </w:r>
      <w:r>
        <w:rPr>
          <w:rFonts w:hint="eastAsia" w:ascii="仿宋_GB2312" w:eastAsia="仿宋_GB2312"/>
          <w:color w:val="auto"/>
          <w:sz w:val="24"/>
          <w:highlight w:val="none"/>
          <w:shd w:val="clear" w:color="auto" w:fill="auto"/>
        </w:rPr>
        <w:t>全水分调价</w:t>
      </w:r>
      <w:r>
        <w:rPr>
          <w:rFonts w:hint="eastAsia" w:ascii="仿宋_GB2312" w:eastAsia="仿宋_GB2312"/>
          <w:color w:val="auto"/>
          <w:sz w:val="24"/>
          <w:highlight w:val="none"/>
          <w:shd w:val="clear" w:color="auto" w:fill="auto"/>
          <w:lang w:eastAsia="zh-CN"/>
        </w:rPr>
        <w:t>。</w:t>
      </w:r>
    </w:p>
    <w:p w14:paraId="15F83ED3">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hAnsi="宋体" w:eastAsia="仿宋_GB2312"/>
          <w:color w:val="auto"/>
          <w:sz w:val="24"/>
          <w:highlight w:val="none"/>
          <w:shd w:val="clear" w:color="auto" w:fill="auto"/>
        </w:rPr>
      </w:pPr>
      <w:r>
        <w:rPr>
          <w:rFonts w:hint="eastAsia" w:ascii="仿宋_GB2312" w:hAnsi="宋体" w:eastAsia="仿宋_GB2312"/>
          <w:color w:val="auto"/>
          <w:sz w:val="24"/>
          <w:highlight w:val="none"/>
          <w:shd w:val="clear" w:color="auto" w:fill="auto"/>
        </w:rPr>
        <w:t>4.3.1</w:t>
      </w:r>
      <w:r>
        <w:rPr>
          <w:rFonts w:hint="eastAsia" w:ascii="仿宋_GB2312" w:hAnsi="宋体" w:eastAsia="仿宋_GB2312"/>
          <w:color w:val="auto"/>
          <w:sz w:val="24"/>
          <w:highlight w:val="none"/>
          <w:shd w:val="clear" w:color="auto" w:fill="auto"/>
          <w:lang w:val="en-US" w:eastAsia="zh-CN"/>
        </w:rPr>
        <w:t xml:space="preserve"> </w:t>
      </w:r>
      <w:r>
        <w:rPr>
          <w:rFonts w:hint="eastAsia" w:ascii="仿宋_GB2312" w:hAnsi="宋体" w:eastAsia="仿宋_GB2312"/>
          <w:color w:val="auto"/>
          <w:sz w:val="24"/>
          <w:highlight w:val="none"/>
          <w:shd w:val="clear" w:color="auto" w:fill="auto"/>
        </w:rPr>
        <w:t>发热量调价</w:t>
      </w:r>
      <w:r>
        <w:rPr>
          <w:rFonts w:hint="eastAsia" w:ascii="仿宋_GB2312" w:hAnsi="宋体" w:eastAsia="仿宋_GB2312"/>
          <w:color w:val="auto"/>
          <w:sz w:val="24"/>
          <w:highlight w:val="none"/>
          <w:shd w:val="clear" w:color="auto" w:fill="auto"/>
          <w:lang w:eastAsia="zh-CN"/>
        </w:rPr>
        <w:t>（要体现优质优价、低质低价原则，在考核中明确极差，具体单卡价格由双方协商确定）</w:t>
      </w:r>
    </w:p>
    <w:p w14:paraId="5AF13AFB">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eastAsia="仿宋_GB2312"/>
          <w:b w:val="0"/>
          <w:color w:val="auto"/>
          <w:sz w:val="24"/>
          <w:highlight w:val="none"/>
          <w:u w:val="none"/>
          <w:shd w:val="clear" w:color="auto" w:fill="auto"/>
          <w:lang w:val="en-US" w:eastAsia="zh-CN"/>
        </w:rPr>
      </w:pPr>
      <w:r>
        <w:rPr>
          <w:rFonts w:hint="eastAsia" w:ascii="仿宋_GB2312" w:eastAsia="仿宋_GB2312"/>
          <w:b w:val="0"/>
          <w:color w:val="auto"/>
          <w:sz w:val="24"/>
          <w:highlight w:val="none"/>
          <w:u w:val="none"/>
          <w:shd w:val="clear" w:color="auto" w:fill="auto"/>
          <w:lang w:eastAsia="zh-CN"/>
        </w:rPr>
        <w:t>实际交货月加权热值（</w:t>
      </w:r>
      <w:r>
        <w:rPr>
          <w:rFonts w:hint="eastAsia" w:ascii="仿宋_GB2312" w:eastAsia="仿宋_GB2312"/>
          <w:b w:val="0"/>
          <w:color w:val="auto"/>
          <w:sz w:val="24"/>
          <w:highlight w:val="none"/>
          <w:u w:val="none"/>
          <w:shd w:val="clear" w:color="auto" w:fill="auto"/>
          <w:lang w:val="en-US" w:eastAsia="zh-CN"/>
        </w:rPr>
        <w:t>Qnet.ar</w:t>
      </w:r>
      <w:r>
        <w:rPr>
          <w:rFonts w:hint="eastAsia" w:ascii="仿宋_GB2312" w:eastAsia="仿宋_GB2312"/>
          <w:b w:val="0"/>
          <w:color w:val="auto"/>
          <w:sz w:val="24"/>
          <w:highlight w:val="none"/>
          <w:u w:val="none"/>
          <w:shd w:val="clear" w:color="auto" w:fill="auto"/>
          <w:lang w:eastAsia="zh-CN"/>
        </w:rPr>
        <w:t>）≥</w:t>
      </w: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Kcal/kg，价格在到站的基础上增加</w:t>
      </w: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元/吨。</w:t>
      </w:r>
    </w:p>
    <w:p w14:paraId="47F0EC00">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eastAsia="仿宋_GB2312"/>
          <w:b w:val="0"/>
          <w:color w:val="auto"/>
          <w:sz w:val="24"/>
          <w:highlight w:val="none"/>
          <w:u w:val="none"/>
          <w:shd w:val="clear" w:color="auto" w:fill="auto"/>
        </w:rPr>
      </w:pP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Kcal/kg＞</w:t>
      </w:r>
      <w:r>
        <w:rPr>
          <w:rFonts w:hint="eastAsia" w:ascii="仿宋_GB2312" w:eastAsia="仿宋_GB2312"/>
          <w:b w:val="0"/>
          <w:color w:val="auto"/>
          <w:sz w:val="24"/>
          <w:highlight w:val="none"/>
          <w:u w:val="none"/>
          <w:shd w:val="clear" w:color="auto" w:fill="auto"/>
          <w:lang w:eastAsia="zh-CN"/>
        </w:rPr>
        <w:t>实际交货月加权热值（</w:t>
      </w:r>
      <w:r>
        <w:rPr>
          <w:rFonts w:hint="eastAsia" w:ascii="仿宋_GB2312" w:eastAsia="仿宋_GB2312"/>
          <w:b w:val="0"/>
          <w:color w:val="auto"/>
          <w:sz w:val="24"/>
          <w:highlight w:val="none"/>
          <w:u w:val="none"/>
          <w:shd w:val="clear" w:color="auto" w:fill="auto"/>
          <w:lang w:val="en-US" w:eastAsia="zh-CN"/>
        </w:rPr>
        <w:t>Qnet.ar</w:t>
      </w:r>
      <w:r>
        <w:rPr>
          <w:rFonts w:hint="eastAsia" w:ascii="仿宋_GB2312" w:eastAsia="仿宋_GB2312"/>
          <w:b w:val="0"/>
          <w:color w:val="auto"/>
          <w:sz w:val="24"/>
          <w:highlight w:val="none"/>
          <w:u w:val="none"/>
          <w:shd w:val="clear" w:color="auto" w:fill="auto"/>
          <w:lang w:eastAsia="zh-CN"/>
        </w:rPr>
        <w:t>）≥</w:t>
      </w: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Kcal/kg，单卡价格按照</w:t>
      </w: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元/吨结算。</w:t>
      </w:r>
    </w:p>
    <w:p w14:paraId="6D5DE3DF">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eastAsia="仿宋_GB2312"/>
          <w:b w:val="0"/>
          <w:color w:val="auto"/>
          <w:sz w:val="24"/>
          <w:highlight w:val="none"/>
          <w:u w:val="none"/>
          <w:shd w:val="clear" w:color="auto" w:fill="auto"/>
          <w:lang w:val="en-US" w:eastAsia="zh-CN"/>
        </w:rPr>
      </w:pP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Kcal/kg＞</w:t>
      </w:r>
      <w:r>
        <w:rPr>
          <w:rFonts w:hint="eastAsia" w:ascii="仿宋_GB2312" w:eastAsia="仿宋_GB2312"/>
          <w:b w:val="0"/>
          <w:color w:val="auto"/>
          <w:sz w:val="24"/>
          <w:highlight w:val="none"/>
          <w:u w:val="none"/>
          <w:shd w:val="clear" w:color="auto" w:fill="auto"/>
          <w:lang w:eastAsia="zh-CN"/>
        </w:rPr>
        <w:t>实际交货月加权热值（</w:t>
      </w:r>
      <w:r>
        <w:rPr>
          <w:rFonts w:hint="eastAsia" w:ascii="仿宋_GB2312" w:eastAsia="仿宋_GB2312"/>
          <w:b w:val="0"/>
          <w:color w:val="auto"/>
          <w:sz w:val="24"/>
          <w:highlight w:val="none"/>
          <w:u w:val="none"/>
          <w:shd w:val="clear" w:color="auto" w:fill="auto"/>
          <w:lang w:val="en-US" w:eastAsia="zh-CN"/>
        </w:rPr>
        <w:t>Qnet.ar</w:t>
      </w:r>
      <w:r>
        <w:rPr>
          <w:rFonts w:hint="eastAsia" w:ascii="仿宋_GB2312" w:eastAsia="仿宋_GB2312"/>
          <w:b w:val="0"/>
          <w:color w:val="auto"/>
          <w:sz w:val="24"/>
          <w:highlight w:val="none"/>
          <w:u w:val="none"/>
          <w:shd w:val="clear" w:color="auto" w:fill="auto"/>
          <w:lang w:eastAsia="zh-CN"/>
        </w:rPr>
        <w:t>）≥</w:t>
      </w: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Kcal/kg，单卡价格按照</w:t>
      </w:r>
      <w:r>
        <w:rPr>
          <w:rFonts w:hint="eastAsia" w:ascii="仿宋_GB2312" w:eastAsia="仿宋_GB2312"/>
          <w:b w:val="0"/>
          <w:color w:val="auto"/>
          <w:sz w:val="24"/>
          <w:highlight w:val="none"/>
          <w:u w:val="single"/>
          <w:shd w:val="clear" w:color="auto" w:fill="auto"/>
          <w:lang w:val="en-US" w:eastAsia="zh-CN"/>
        </w:rPr>
        <w:t xml:space="preserve">     </w:t>
      </w:r>
      <w:r>
        <w:rPr>
          <w:rFonts w:hint="eastAsia" w:ascii="仿宋_GB2312" w:eastAsia="仿宋_GB2312"/>
          <w:b w:val="0"/>
          <w:color w:val="auto"/>
          <w:sz w:val="24"/>
          <w:highlight w:val="none"/>
          <w:u w:val="none"/>
          <w:shd w:val="clear" w:color="auto" w:fill="auto"/>
          <w:lang w:val="en-US" w:eastAsia="zh-CN"/>
        </w:rPr>
        <w:t>元/吨结算。</w:t>
      </w:r>
    </w:p>
    <w:p w14:paraId="6BF3098B">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56" w:firstLineChars="200"/>
        <w:textAlignment w:val="auto"/>
        <w:rPr>
          <w:rFonts w:hint="eastAsia" w:ascii="仿宋_GB2312" w:eastAsia="仿宋_GB2312"/>
          <w:b w:val="0"/>
          <w:color w:val="auto"/>
          <w:spacing w:val="-6"/>
          <w:sz w:val="24"/>
          <w:highlight w:val="none"/>
          <w:u w:val="none"/>
          <w:shd w:val="clear" w:color="auto" w:fill="auto"/>
          <w:lang w:val="en-US" w:eastAsia="zh-CN"/>
        </w:rPr>
      </w:pPr>
      <w:r>
        <w:rPr>
          <w:rFonts w:hint="eastAsia" w:ascii="仿宋_GB2312" w:eastAsia="仿宋_GB2312"/>
          <w:b w:val="0"/>
          <w:color w:val="auto"/>
          <w:spacing w:val="-6"/>
          <w:sz w:val="24"/>
          <w:highlight w:val="none"/>
          <w:u w:val="none"/>
          <w:shd w:val="clear" w:color="auto" w:fill="auto"/>
          <w:lang w:eastAsia="zh-CN"/>
        </w:rPr>
        <w:t>实际交货月加权热值（</w:t>
      </w:r>
      <w:r>
        <w:rPr>
          <w:rFonts w:hint="eastAsia" w:ascii="仿宋_GB2312" w:eastAsia="仿宋_GB2312"/>
          <w:b w:val="0"/>
          <w:color w:val="auto"/>
          <w:spacing w:val="-6"/>
          <w:sz w:val="24"/>
          <w:highlight w:val="none"/>
          <w:u w:val="none"/>
          <w:shd w:val="clear" w:color="auto" w:fill="auto"/>
          <w:lang w:val="en-US" w:eastAsia="zh-CN"/>
        </w:rPr>
        <w:t>Qnet.ar</w:t>
      </w:r>
      <w:r>
        <w:rPr>
          <w:rFonts w:hint="eastAsia" w:ascii="仿宋_GB2312" w:eastAsia="仿宋_GB2312"/>
          <w:b w:val="0"/>
          <w:color w:val="auto"/>
          <w:spacing w:val="-6"/>
          <w:sz w:val="24"/>
          <w:highlight w:val="none"/>
          <w:u w:val="none"/>
          <w:shd w:val="clear" w:color="auto" w:fill="auto"/>
          <w:lang w:eastAsia="zh-CN"/>
        </w:rPr>
        <w:t>）低于</w:t>
      </w:r>
      <w:r>
        <w:rPr>
          <w:rFonts w:hint="eastAsia" w:ascii="仿宋_GB2312" w:eastAsia="仿宋_GB2312"/>
          <w:b w:val="0"/>
          <w:color w:val="auto"/>
          <w:spacing w:val="-6"/>
          <w:sz w:val="24"/>
          <w:highlight w:val="none"/>
          <w:u w:val="single"/>
          <w:shd w:val="clear" w:color="auto" w:fill="auto"/>
          <w:lang w:val="en-US" w:eastAsia="zh-CN"/>
        </w:rPr>
        <w:t xml:space="preserve">     </w:t>
      </w:r>
      <w:r>
        <w:rPr>
          <w:rFonts w:hint="eastAsia" w:ascii="仿宋_GB2312" w:eastAsia="仿宋_GB2312"/>
          <w:b w:val="0"/>
          <w:color w:val="auto"/>
          <w:spacing w:val="-6"/>
          <w:sz w:val="24"/>
          <w:highlight w:val="none"/>
          <w:u w:val="none"/>
          <w:shd w:val="clear" w:color="auto" w:fill="auto"/>
          <w:lang w:val="en-US" w:eastAsia="zh-CN"/>
        </w:rPr>
        <w:t>Kcal/kg的，单卡价格按照</w:t>
      </w:r>
      <w:r>
        <w:rPr>
          <w:rFonts w:hint="eastAsia" w:ascii="仿宋_GB2312" w:eastAsia="仿宋_GB2312"/>
          <w:b w:val="0"/>
          <w:color w:val="auto"/>
          <w:spacing w:val="-6"/>
          <w:sz w:val="24"/>
          <w:highlight w:val="none"/>
          <w:u w:val="single"/>
          <w:shd w:val="clear" w:color="auto" w:fill="auto"/>
          <w:lang w:val="en-US" w:eastAsia="zh-CN"/>
        </w:rPr>
        <w:t xml:space="preserve">     </w:t>
      </w:r>
      <w:r>
        <w:rPr>
          <w:rFonts w:hint="eastAsia" w:ascii="仿宋_GB2312" w:eastAsia="仿宋_GB2312"/>
          <w:b w:val="0"/>
          <w:color w:val="auto"/>
          <w:spacing w:val="-6"/>
          <w:sz w:val="24"/>
          <w:highlight w:val="none"/>
          <w:u w:val="none"/>
          <w:shd w:val="clear" w:color="auto" w:fill="auto"/>
          <w:lang w:val="en-US" w:eastAsia="zh-CN"/>
        </w:rPr>
        <w:t>元/吨结算。</w:t>
      </w:r>
    </w:p>
    <w:p w14:paraId="60D7B2D2">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4.3.2 硫分调价</w:t>
      </w:r>
      <w:r>
        <w:rPr>
          <w:rFonts w:hint="eastAsia" w:ascii="仿宋_GB2312" w:hAnsi="宋体" w:eastAsia="仿宋_GB2312"/>
          <w:color w:val="auto"/>
          <w:sz w:val="24"/>
          <w:highlight w:val="none"/>
          <w:shd w:val="clear" w:color="auto" w:fill="auto"/>
        </w:rPr>
        <w:t>（</w:t>
      </w:r>
      <w:r>
        <w:rPr>
          <w:rFonts w:hint="eastAsia" w:ascii="仿宋_GB2312" w:eastAsia="仿宋_GB2312"/>
          <w:color w:val="auto"/>
          <w:sz w:val="24"/>
          <w:highlight w:val="none"/>
          <w:shd w:val="clear" w:color="auto" w:fill="auto"/>
        </w:rPr>
        <w:t>四舍五入</w:t>
      </w:r>
      <w:r>
        <w:rPr>
          <w:rFonts w:hint="eastAsia" w:ascii="仿宋_GB2312" w:hAnsi="宋体" w:eastAsia="仿宋_GB2312"/>
          <w:color w:val="auto"/>
          <w:sz w:val="24"/>
          <w:highlight w:val="none"/>
          <w:shd w:val="clear" w:color="auto" w:fill="auto"/>
        </w:rPr>
        <w:t>保留两位小数）</w:t>
      </w:r>
      <w:r>
        <w:rPr>
          <w:rFonts w:hint="eastAsia" w:ascii="仿宋_GB2312" w:eastAsia="仿宋_GB2312"/>
          <w:color w:val="auto"/>
          <w:sz w:val="24"/>
          <w:highlight w:val="none"/>
          <w:shd w:val="clear" w:color="auto" w:fill="auto"/>
        </w:rPr>
        <w:t>：硫分（</w:t>
      </w:r>
      <w:r>
        <w:rPr>
          <w:rFonts w:hint="eastAsia" w:ascii="仿宋_GB2312" w:eastAsia="仿宋_GB2312"/>
          <w:color w:val="auto"/>
          <w:szCs w:val="21"/>
          <w:highlight w:val="none"/>
          <w:shd w:val="clear" w:color="auto" w:fill="auto"/>
        </w:rPr>
        <w:t>St,ar</w:t>
      </w:r>
      <w:r>
        <w:rPr>
          <w:rFonts w:hint="eastAsia" w:ascii="仿宋_GB2312" w:eastAsia="仿宋_GB2312"/>
          <w:color w:val="auto"/>
          <w:sz w:val="24"/>
          <w:highlight w:val="none"/>
          <w:shd w:val="clear" w:color="auto" w:fill="auto"/>
        </w:rPr>
        <w:t xml:space="preserve">）以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为基准，超</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以上部分，每超0.01%价格降低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元/吨。</w:t>
      </w:r>
    </w:p>
    <w:p w14:paraId="2ABDE4AF">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4.3.3</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灰分调价（四舍五入保留两位小数）：灰分（Aad）以</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为基准，超</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 xml:space="preserve"> 以上部分，每超0.01%价格降低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元/吨。</w:t>
      </w:r>
    </w:p>
    <w:p w14:paraId="4138155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4.3.4</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全水分调价（四舍五入保留两位小数）；水分（Mt）以</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为基准，超</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以上部分，每超0.01%价格降低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元/吨。</w:t>
      </w:r>
    </w:p>
    <w:p w14:paraId="3C1D0702">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4.4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0A250E5E">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第五条  质量检测和数量检测</w:t>
      </w:r>
      <w:r>
        <w:rPr>
          <w:rFonts w:hint="eastAsia" w:ascii="黑体" w:eastAsia="黑体"/>
          <w:b/>
          <w:bCs/>
          <w:color w:val="auto"/>
          <w:sz w:val="28"/>
          <w:szCs w:val="28"/>
          <w:highlight w:val="none"/>
          <w:shd w:val="clear" w:color="auto" w:fill="auto"/>
          <w:lang w:eastAsia="zh-CN"/>
        </w:rPr>
        <w:t>（</w:t>
      </w:r>
      <w:r>
        <w:rPr>
          <w:rFonts w:hint="eastAsia" w:ascii="黑体" w:eastAsia="黑体"/>
          <w:b/>
          <w:bCs/>
          <w:color w:val="auto"/>
          <w:sz w:val="28"/>
          <w:szCs w:val="28"/>
          <w:highlight w:val="none"/>
          <w:shd w:val="clear" w:color="auto" w:fill="auto"/>
          <w:lang w:val="en-US" w:eastAsia="zh-CN"/>
        </w:rPr>
        <w:t>可根据实际业务需求，根据运输方式选择质量检测和质量争议处理方式</w:t>
      </w:r>
      <w:r>
        <w:rPr>
          <w:rFonts w:hint="eastAsia" w:ascii="黑体" w:eastAsia="黑体"/>
          <w:b/>
          <w:bCs/>
          <w:color w:val="auto"/>
          <w:sz w:val="28"/>
          <w:szCs w:val="28"/>
          <w:highlight w:val="none"/>
          <w:shd w:val="clear" w:color="auto" w:fill="auto"/>
          <w:lang w:eastAsia="zh-CN"/>
        </w:rPr>
        <w:t>）</w:t>
      </w:r>
    </w:p>
    <w:p w14:paraId="674F438D">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5.1 质量检测：</w:t>
      </w:r>
    </w:p>
    <w:p w14:paraId="615701F8">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5.1.1 铁路运输：由</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方委托买卖双方认可的具有资质的第三方检测机构在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（装车/卸车）过程中对煤炭进行采样、制样和化验。检测均须依据现行国家标准（GB），检测结果作为双方结算依据，费用由</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方支付。</w:t>
      </w:r>
    </w:p>
    <w:p w14:paraId="274121F7">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5.1.2</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公路运输：由</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方委托买卖双方认可的具有资质的第三方检测机构在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（装车/卸车）过程中对煤炭进行采样、制样和化验。检测均须依据现行国家标准（GB），检测结果作为双方结算依据，费用由</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方支付。</w:t>
      </w:r>
    </w:p>
    <w:p w14:paraId="32068340">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5.1.3</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水路运输:由</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方委托买卖双方认可的具有资质的第三方检测机构在</w:t>
      </w:r>
      <w:r>
        <w:rPr>
          <w:rFonts w:hint="eastAsia" w:ascii="仿宋_GB2312" w:eastAsia="仿宋_GB2312"/>
          <w:b/>
          <w:bCs/>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rPr>
        <w:t>（</w:t>
      </w:r>
      <w:r>
        <w:rPr>
          <w:rFonts w:hint="eastAsia" w:ascii="仿宋_GB2312" w:eastAsia="仿宋_GB2312"/>
          <w:color w:val="auto"/>
          <w:sz w:val="24"/>
          <w:highlight w:val="none"/>
          <w:shd w:val="clear" w:color="auto" w:fill="auto"/>
        </w:rPr>
        <w:t>装船/卸船）过程中对煤炭进行采样、制样和化验。检测均须依据现行国家标准（GB），检测结果作为双方结算依据，费用由</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方支付。</w:t>
      </w:r>
    </w:p>
    <w:p w14:paraId="3FF3B252">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5.2 数量检测：数量以吨为计量单位，保留小数点后两位。</w:t>
      </w:r>
    </w:p>
    <w:p w14:paraId="72907402">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5.2.1</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（公路/铁路/装船离岸/到岸/到厂等）运输的煤炭数量确认，以（装车点汽车衡/发运矿（点）轨道衡/定量仓/装船港船舶水尺/接卸港船舶水尺等） 计量为依据。</w:t>
      </w:r>
    </w:p>
    <w:p w14:paraId="2EFC34EF">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5.2.2 数量检验费用由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承担。</w:t>
      </w:r>
    </w:p>
    <w:p w14:paraId="50BF0ECE">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5.3</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数、质量差异处理</w:t>
      </w:r>
    </w:p>
    <w:p w14:paraId="52EE0EF6">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5.3.1 数量差异</w:t>
      </w:r>
    </w:p>
    <w:p w14:paraId="60CD1230">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5.3.1.1 合理损耗的约定</w:t>
      </w:r>
    </w:p>
    <w:p w14:paraId="34966D7F">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r>
        <w:rPr>
          <w:rFonts w:hint="eastAsia" w:ascii="仿宋_GB2312" w:eastAsia="仿宋_GB2312"/>
          <w:color w:val="auto"/>
          <w:sz w:val="24"/>
          <w:highlight w:val="none"/>
          <w:u w:val="none"/>
          <w:shd w:val="clear" w:color="auto" w:fill="auto"/>
          <w:lang w:eastAsia="zh-CN"/>
        </w:rPr>
        <w:t>（双方协商确定）</w:t>
      </w:r>
    </w:p>
    <w:p w14:paraId="537E598D">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5.3.1.2 买方发现亏吨，应在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日内（自收到货物之日起计算）通知卖方（并将有关记录一并送达），逾期卖方可不再受理。卖方接到买方通知后，如有异议， 应在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日内双方协商解决或者派员前去处理，逾期即视为同意买方意见。</w:t>
      </w:r>
    </w:p>
    <w:p w14:paraId="71CC5CCF">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公路运输亏吨计量以</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为依据。</w:t>
      </w:r>
    </w:p>
    <w:p w14:paraId="16948522">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铁路运输亏吨计量以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为依据。</w:t>
      </w:r>
    </w:p>
    <w:p w14:paraId="5870DADD">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水路运输亏吨计量由合同双方认可的装船港具有资质的第三方检验机构出 具的检测结果为依据。</w:t>
      </w:r>
    </w:p>
    <w:p w14:paraId="0DA5281E">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5.3.2 质量差异</w:t>
      </w:r>
    </w:p>
    <w:p w14:paraId="39B360AF">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当</w:t>
      </w:r>
      <w:r>
        <w:rPr>
          <w:rFonts w:hint="eastAsia" w:ascii="仿宋_GB2312" w:eastAsia="仿宋_GB2312"/>
          <w:color w:val="auto"/>
          <w:sz w:val="24"/>
          <w:highlight w:val="none"/>
          <w:u w:val="single"/>
          <w:shd w:val="clear" w:color="auto" w:fill="auto"/>
          <w:lang w:val="en-US" w:eastAsia="zh-CN"/>
        </w:rPr>
        <w:t>装运港/发站</w:t>
      </w:r>
      <w:r>
        <w:rPr>
          <w:rFonts w:hint="eastAsia" w:ascii="仿宋_GB2312" w:eastAsia="仿宋_GB2312"/>
          <w:color w:val="auto"/>
          <w:sz w:val="24"/>
          <w:highlight w:val="none"/>
          <w:shd w:val="clear" w:color="auto" w:fill="auto"/>
        </w:rPr>
        <w:t>与</w:t>
      </w:r>
      <w:r>
        <w:rPr>
          <w:rFonts w:hint="eastAsia" w:ascii="仿宋_GB2312" w:eastAsia="仿宋_GB2312"/>
          <w:color w:val="auto"/>
          <w:sz w:val="24"/>
          <w:highlight w:val="none"/>
          <w:u w:val="single"/>
          <w:shd w:val="clear" w:color="auto" w:fill="auto"/>
        </w:rPr>
        <w:t>卸货港</w:t>
      </w:r>
      <w:r>
        <w:rPr>
          <w:rFonts w:hint="eastAsia" w:ascii="仿宋_GB2312" w:eastAsia="仿宋_GB2312"/>
          <w:color w:val="auto"/>
          <w:sz w:val="24"/>
          <w:highlight w:val="none"/>
          <w:u w:val="single"/>
          <w:shd w:val="clear" w:color="auto" w:fill="auto"/>
          <w:lang w:eastAsia="zh-CN"/>
        </w:rPr>
        <w:t>（</w:t>
      </w:r>
      <w:r>
        <w:rPr>
          <w:rFonts w:hint="eastAsia" w:ascii="仿宋_GB2312" w:eastAsia="仿宋_GB2312"/>
          <w:color w:val="auto"/>
          <w:sz w:val="24"/>
          <w:highlight w:val="none"/>
          <w:u w:val="single"/>
          <w:shd w:val="clear" w:color="auto" w:fill="auto"/>
          <w:lang w:val="en-US" w:eastAsia="zh-CN"/>
        </w:rPr>
        <w:t>到站/到厂</w:t>
      </w:r>
      <w:r>
        <w:rPr>
          <w:rFonts w:hint="eastAsia" w:ascii="仿宋_GB2312" w:eastAsia="仿宋_GB2312"/>
          <w:color w:val="auto"/>
          <w:sz w:val="24"/>
          <w:highlight w:val="none"/>
          <w:u w:val="single"/>
          <w:shd w:val="clear" w:color="auto" w:fill="auto"/>
          <w:lang w:eastAsia="zh-CN"/>
        </w:rPr>
        <w:t>）</w:t>
      </w:r>
      <w:r>
        <w:rPr>
          <w:rFonts w:hint="eastAsia" w:ascii="仿宋_GB2312" w:eastAsia="仿宋_GB2312"/>
          <w:color w:val="auto"/>
          <w:sz w:val="24"/>
          <w:highlight w:val="none"/>
          <w:shd w:val="clear" w:color="auto" w:fill="auto"/>
          <w:lang w:eastAsia="zh-CN"/>
        </w:rPr>
        <w:t>检测</w:t>
      </w:r>
      <w:r>
        <w:rPr>
          <w:rFonts w:hint="eastAsia" w:ascii="仿宋_GB2312" w:eastAsia="仿宋_GB2312"/>
          <w:color w:val="auto"/>
          <w:sz w:val="24"/>
          <w:highlight w:val="none"/>
          <w:shd w:val="clear" w:color="auto" w:fill="auto"/>
        </w:rPr>
        <w:t>的收到基低位发热量（卸货港收到基低位发热量按装运港全水分换算）差异超过</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shd w:val="clear" w:color="auto" w:fill="auto"/>
        </w:rPr>
        <w:t>kcal/kg以上，可在</w:t>
      </w:r>
      <w:r>
        <w:rPr>
          <w:rFonts w:hint="eastAsia" w:ascii="仿宋_GB2312" w:eastAsia="仿宋_GB2312"/>
          <w:color w:val="auto"/>
          <w:sz w:val="24"/>
          <w:highlight w:val="none"/>
          <w:u w:val="single"/>
          <w:shd w:val="clear" w:color="auto" w:fill="auto"/>
        </w:rPr>
        <w:t>装运港</w:t>
      </w:r>
      <w:r>
        <w:rPr>
          <w:rFonts w:hint="eastAsia" w:ascii="仿宋_GB2312" w:eastAsia="仿宋_GB2312"/>
          <w:color w:val="auto"/>
          <w:sz w:val="24"/>
          <w:highlight w:val="none"/>
          <w:u w:val="single"/>
          <w:shd w:val="clear" w:color="auto" w:fill="auto"/>
          <w:lang w:val="en-US" w:eastAsia="zh-CN"/>
        </w:rPr>
        <w:t>/发站</w:t>
      </w:r>
      <w:r>
        <w:rPr>
          <w:rFonts w:hint="eastAsia" w:ascii="仿宋_GB2312" w:eastAsia="仿宋_GB2312"/>
          <w:color w:val="auto"/>
          <w:sz w:val="24"/>
          <w:highlight w:val="none"/>
          <w:shd w:val="clear" w:color="auto" w:fill="auto"/>
        </w:rPr>
        <w:t>质量检测证书出具后</w:t>
      </w:r>
      <w:r>
        <w:rPr>
          <w:rFonts w:eastAsia="仿宋_GB2312"/>
          <w:color w:val="auto"/>
          <w:sz w:val="24"/>
          <w:highlight w:val="none"/>
          <w:shd w:val="clear" w:color="auto" w:fill="auto"/>
        </w:rPr>
        <w:t>15</w:t>
      </w:r>
      <w:r>
        <w:rPr>
          <w:rFonts w:hint="eastAsia" w:eastAsia="仿宋_GB2312"/>
          <w:color w:val="auto"/>
          <w:sz w:val="24"/>
          <w:highlight w:val="none"/>
          <w:shd w:val="clear" w:color="auto" w:fill="auto"/>
        </w:rPr>
        <w:t>日</w:t>
      </w:r>
      <w:r>
        <w:rPr>
          <w:rFonts w:hint="eastAsia" w:ascii="仿宋_GB2312" w:eastAsia="仿宋_GB2312"/>
          <w:color w:val="auto"/>
          <w:sz w:val="24"/>
          <w:highlight w:val="none"/>
          <w:shd w:val="clear" w:color="auto" w:fill="auto"/>
        </w:rPr>
        <w:t>内以书面形式提出，逾期视为无异议。</w:t>
      </w:r>
    </w:p>
    <w:p w14:paraId="193D80A6">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质量</w:t>
      </w:r>
      <w:r>
        <w:rPr>
          <w:rFonts w:hint="eastAsia" w:ascii="仿宋_GB2312" w:eastAsia="仿宋_GB2312"/>
          <w:color w:val="auto"/>
          <w:sz w:val="24"/>
          <w:highlight w:val="none"/>
          <w:shd w:val="clear" w:color="auto" w:fill="auto"/>
          <w:lang w:val="en-US" w:eastAsia="zh-CN"/>
        </w:rPr>
        <w:t>差异</w:t>
      </w:r>
      <w:r>
        <w:rPr>
          <w:rFonts w:hint="eastAsia" w:ascii="仿宋_GB2312" w:eastAsia="仿宋_GB2312"/>
          <w:color w:val="auto"/>
          <w:sz w:val="24"/>
          <w:highlight w:val="none"/>
          <w:shd w:val="clear" w:color="auto" w:fill="auto"/>
        </w:rPr>
        <w:t>可采取以下方式处理：</w:t>
      </w:r>
    </w:p>
    <w:p w14:paraId="5F79BFF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5.</w:t>
      </w:r>
      <w:r>
        <w:rPr>
          <w:rFonts w:hint="eastAsia" w:ascii="仿宋_GB2312" w:eastAsia="仿宋_GB2312"/>
          <w:color w:val="auto"/>
          <w:sz w:val="24"/>
          <w:highlight w:val="none"/>
          <w:shd w:val="clear" w:color="auto" w:fill="auto"/>
          <w:lang w:val="en-US" w:eastAsia="zh-CN"/>
        </w:rPr>
        <w:t>3</w:t>
      </w:r>
      <w:r>
        <w:rPr>
          <w:rFonts w:hint="eastAsia" w:ascii="仿宋_GB2312" w:eastAsia="仿宋_GB2312"/>
          <w:color w:val="auto"/>
          <w:sz w:val="24"/>
          <w:highlight w:val="none"/>
          <w:shd w:val="clear" w:color="auto" w:fill="auto"/>
        </w:rPr>
        <w:t>.</w:t>
      </w:r>
      <w:r>
        <w:rPr>
          <w:rFonts w:hint="eastAsia" w:ascii="仿宋_GB2312" w:eastAsia="仿宋_GB2312"/>
          <w:color w:val="auto"/>
          <w:sz w:val="24"/>
          <w:highlight w:val="none"/>
          <w:shd w:val="clear" w:color="auto" w:fill="auto"/>
          <w:lang w:val="en-US" w:eastAsia="zh-CN"/>
        </w:rPr>
        <w:t xml:space="preserve">2.1 </w:t>
      </w:r>
      <w:r>
        <w:rPr>
          <w:rFonts w:hint="eastAsia" w:ascii="仿宋_GB2312" w:eastAsia="仿宋_GB2312"/>
          <w:color w:val="auto"/>
          <w:sz w:val="24"/>
          <w:highlight w:val="none"/>
          <w:shd w:val="clear" w:color="auto" w:fill="auto"/>
        </w:rPr>
        <w:t>复验：双方协商将</w:t>
      </w:r>
      <w:r>
        <w:rPr>
          <w:rFonts w:hint="eastAsia" w:ascii="仿宋_GB2312" w:eastAsia="仿宋_GB2312"/>
          <w:color w:val="auto"/>
          <w:sz w:val="24"/>
          <w:highlight w:val="none"/>
          <w:u w:val="single"/>
          <w:shd w:val="clear" w:color="auto" w:fill="auto"/>
        </w:rPr>
        <w:t>装运港</w:t>
      </w:r>
      <w:r>
        <w:rPr>
          <w:rFonts w:hint="eastAsia" w:ascii="仿宋_GB2312" w:eastAsia="仿宋_GB2312"/>
          <w:color w:val="auto"/>
          <w:sz w:val="24"/>
          <w:highlight w:val="none"/>
          <w:u w:val="single"/>
          <w:shd w:val="clear" w:color="auto" w:fill="auto"/>
          <w:lang w:val="en-US" w:eastAsia="zh-CN"/>
        </w:rPr>
        <w:t>/发站</w:t>
      </w:r>
      <w:r>
        <w:rPr>
          <w:rFonts w:hint="eastAsia" w:ascii="仿宋_GB2312" w:eastAsia="仿宋_GB2312"/>
          <w:color w:val="auto"/>
          <w:sz w:val="24"/>
          <w:highlight w:val="none"/>
          <w:shd w:val="clear" w:color="auto" w:fill="auto"/>
        </w:rPr>
        <w:t>存查煤样送交具有资质的第三方检测机构进行复验。若复验结果与</w:t>
      </w:r>
      <w:r>
        <w:rPr>
          <w:rFonts w:hint="eastAsia" w:ascii="仿宋_GB2312" w:eastAsia="仿宋_GB2312"/>
          <w:color w:val="auto"/>
          <w:sz w:val="24"/>
          <w:highlight w:val="none"/>
          <w:u w:val="single"/>
          <w:shd w:val="clear" w:color="auto" w:fill="auto"/>
        </w:rPr>
        <w:t>装运港</w:t>
      </w:r>
      <w:r>
        <w:rPr>
          <w:rFonts w:hint="eastAsia" w:ascii="仿宋_GB2312" w:eastAsia="仿宋_GB2312"/>
          <w:color w:val="auto"/>
          <w:sz w:val="24"/>
          <w:highlight w:val="none"/>
          <w:u w:val="single"/>
          <w:shd w:val="clear" w:color="auto" w:fill="auto"/>
          <w:lang w:val="en-US" w:eastAsia="zh-CN"/>
        </w:rPr>
        <w:t>/发站</w:t>
      </w:r>
      <w:r>
        <w:rPr>
          <w:rFonts w:hint="eastAsia" w:ascii="仿宋_GB2312" w:eastAsia="仿宋_GB2312"/>
          <w:color w:val="auto"/>
          <w:sz w:val="24"/>
          <w:highlight w:val="none"/>
          <w:shd w:val="clear" w:color="auto" w:fill="auto"/>
        </w:rPr>
        <w:t>收到基低位发热量（同一全水分基）超出国标规定不同化验室间</w:t>
      </w:r>
      <w:r>
        <w:rPr>
          <w:rFonts w:hint="eastAsia" w:eastAsia="仿宋_GB2312"/>
          <w:color w:val="auto"/>
          <w:sz w:val="24"/>
          <w:highlight w:val="none"/>
          <w:shd w:val="clear" w:color="auto" w:fill="auto"/>
        </w:rPr>
        <w:t>再现性允许差时，以复验结果作为买卖双方最终结算依据，否则，维持以</w:t>
      </w:r>
      <w:r>
        <w:rPr>
          <w:rFonts w:hint="eastAsia" w:eastAsia="仿宋_GB2312"/>
          <w:color w:val="auto"/>
          <w:sz w:val="24"/>
          <w:highlight w:val="none"/>
          <w:u w:val="single"/>
          <w:shd w:val="clear" w:color="auto" w:fill="auto"/>
        </w:rPr>
        <w:t>装</w:t>
      </w:r>
      <w:r>
        <w:rPr>
          <w:rFonts w:hint="eastAsia" w:ascii="仿宋_GB2312" w:eastAsia="仿宋_GB2312"/>
          <w:color w:val="auto"/>
          <w:sz w:val="24"/>
          <w:highlight w:val="none"/>
          <w:u w:val="single"/>
          <w:shd w:val="clear" w:color="auto" w:fill="auto"/>
        </w:rPr>
        <w:t>运港</w:t>
      </w:r>
      <w:r>
        <w:rPr>
          <w:rFonts w:hint="eastAsia" w:ascii="仿宋_GB2312" w:eastAsia="仿宋_GB2312"/>
          <w:color w:val="auto"/>
          <w:sz w:val="24"/>
          <w:highlight w:val="none"/>
          <w:u w:val="single"/>
          <w:shd w:val="clear" w:color="auto" w:fill="auto"/>
          <w:lang w:val="en-US" w:eastAsia="zh-CN"/>
        </w:rPr>
        <w:t>/发站</w:t>
      </w:r>
      <w:r>
        <w:rPr>
          <w:rFonts w:hint="eastAsia" w:ascii="仿宋_GB2312" w:eastAsia="仿宋_GB2312"/>
          <w:color w:val="auto"/>
          <w:sz w:val="24"/>
          <w:highlight w:val="none"/>
          <w:shd w:val="clear" w:color="auto" w:fill="auto"/>
        </w:rPr>
        <w:t>结果作为最终结算依据。</w:t>
      </w:r>
    </w:p>
    <w:p w14:paraId="6348CA98">
      <w:pPr>
        <w:keepNext w:val="0"/>
        <w:keepLines w:val="0"/>
        <w:pageBreakBefore w:val="0"/>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hAnsi="宋体" w:eastAsia="仿宋_GB2312" w:cs="宋体"/>
          <w:color w:val="auto"/>
          <w:sz w:val="24"/>
          <w:highlight w:val="none"/>
          <w:shd w:val="clear" w:color="auto" w:fill="auto"/>
        </w:rPr>
      </w:pPr>
      <w:r>
        <w:rPr>
          <w:rFonts w:hint="eastAsia" w:ascii="仿宋_GB2312" w:eastAsia="仿宋_GB2312"/>
          <w:color w:val="auto"/>
          <w:sz w:val="24"/>
          <w:highlight w:val="none"/>
          <w:shd w:val="clear" w:color="auto" w:fill="auto"/>
        </w:rPr>
        <w:t>5</w:t>
      </w:r>
      <w:r>
        <w:rPr>
          <w:rFonts w:hint="eastAsia" w:ascii="仿宋_GB2312" w:eastAsia="仿宋_GB2312"/>
          <w:color w:val="auto"/>
          <w:sz w:val="24"/>
          <w:highlight w:val="none"/>
          <w:shd w:val="clear" w:color="auto" w:fill="auto"/>
          <w:lang w:val="en-US" w:eastAsia="zh-CN"/>
        </w:rPr>
        <w:t>.3</w:t>
      </w:r>
      <w:r>
        <w:rPr>
          <w:rFonts w:hint="eastAsia" w:ascii="仿宋_GB2312" w:eastAsia="仿宋_GB2312"/>
          <w:color w:val="auto"/>
          <w:sz w:val="24"/>
          <w:highlight w:val="none"/>
          <w:shd w:val="clear" w:color="auto" w:fill="auto"/>
        </w:rPr>
        <w:t>.2</w:t>
      </w:r>
      <w:r>
        <w:rPr>
          <w:rFonts w:hint="eastAsia" w:ascii="仿宋_GB2312" w:eastAsia="仿宋_GB2312"/>
          <w:color w:val="auto"/>
          <w:sz w:val="24"/>
          <w:highlight w:val="none"/>
          <w:shd w:val="clear" w:color="auto" w:fill="auto"/>
          <w:lang w:val="en-US" w:eastAsia="zh-CN"/>
        </w:rPr>
        <w:t xml:space="preserve">.2 </w:t>
      </w:r>
      <w:r>
        <w:rPr>
          <w:rFonts w:hint="eastAsia" w:ascii="仿宋_GB2312" w:eastAsia="仿宋_GB2312"/>
          <w:color w:val="auto"/>
          <w:sz w:val="24"/>
          <w:highlight w:val="none"/>
          <w:shd w:val="clear" w:color="auto" w:fill="auto"/>
        </w:rPr>
        <w:t>复检：在争议煤炭具备复检条件（数量保证</w:t>
      </w:r>
      <w:r>
        <w:rPr>
          <w:rFonts w:hint="eastAsia" w:ascii="仿宋_GB2312" w:eastAsia="仿宋_GB2312"/>
          <w:color w:val="auto"/>
          <w:sz w:val="24"/>
          <w:highlight w:val="none"/>
          <w:shd w:val="clear" w:color="auto" w:fill="auto"/>
          <w:lang w:val="en-US" w:eastAsia="zh-CN"/>
        </w:rPr>
        <w:t>8</w:t>
      </w:r>
      <w:r>
        <w:rPr>
          <w:rFonts w:hint="eastAsia" w:ascii="仿宋_GB2312" w:eastAsia="仿宋_GB2312"/>
          <w:color w:val="auto"/>
          <w:sz w:val="24"/>
          <w:highlight w:val="none"/>
          <w:shd w:val="clear" w:color="auto" w:fill="auto"/>
        </w:rPr>
        <w:t>0%以上、单独堆存、移动煤流等）时，双方协商委托具有资质的第三方检测机构实施复检。若复检结果与</w:t>
      </w:r>
      <w:r>
        <w:rPr>
          <w:rFonts w:hint="eastAsia" w:ascii="仿宋_GB2312" w:eastAsia="仿宋_GB2312"/>
          <w:color w:val="auto"/>
          <w:sz w:val="24"/>
          <w:highlight w:val="none"/>
          <w:u w:val="single"/>
          <w:shd w:val="clear" w:color="auto" w:fill="auto"/>
        </w:rPr>
        <w:t>装运港</w:t>
      </w:r>
      <w:r>
        <w:rPr>
          <w:rFonts w:hint="eastAsia" w:ascii="仿宋_GB2312" w:eastAsia="仿宋_GB2312"/>
          <w:color w:val="auto"/>
          <w:sz w:val="24"/>
          <w:highlight w:val="none"/>
          <w:u w:val="single"/>
          <w:shd w:val="clear" w:color="auto" w:fill="auto"/>
          <w:lang w:val="en-US" w:eastAsia="zh-CN"/>
        </w:rPr>
        <w:t>/发站</w:t>
      </w:r>
      <w:r>
        <w:rPr>
          <w:rFonts w:hint="eastAsia" w:ascii="仿宋_GB2312" w:eastAsia="仿宋_GB2312"/>
          <w:color w:val="auto"/>
          <w:sz w:val="24"/>
          <w:highlight w:val="none"/>
          <w:shd w:val="clear" w:color="auto" w:fill="auto"/>
        </w:rPr>
        <w:t>的收到基低位发热量差异超出</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shd w:val="clear" w:color="auto" w:fill="auto"/>
        </w:rPr>
        <w:t>kcal/kg，复检结果作为最终结算依据；否则，</w:t>
      </w:r>
      <w:r>
        <w:rPr>
          <w:rFonts w:hint="eastAsia" w:eastAsia="仿宋_GB2312"/>
          <w:color w:val="auto"/>
          <w:sz w:val="24"/>
          <w:highlight w:val="none"/>
          <w:shd w:val="clear" w:color="auto" w:fill="auto"/>
        </w:rPr>
        <w:t>维持以</w:t>
      </w:r>
      <w:r>
        <w:rPr>
          <w:rFonts w:hint="eastAsia" w:eastAsia="仿宋_GB2312"/>
          <w:color w:val="auto"/>
          <w:sz w:val="24"/>
          <w:highlight w:val="none"/>
          <w:u w:val="single"/>
          <w:shd w:val="clear" w:color="auto" w:fill="auto"/>
        </w:rPr>
        <w:t>装</w:t>
      </w:r>
      <w:r>
        <w:rPr>
          <w:rFonts w:hint="eastAsia" w:ascii="仿宋_GB2312" w:eastAsia="仿宋_GB2312"/>
          <w:color w:val="auto"/>
          <w:sz w:val="24"/>
          <w:highlight w:val="none"/>
          <w:u w:val="single"/>
          <w:shd w:val="clear" w:color="auto" w:fill="auto"/>
        </w:rPr>
        <w:t>运港</w:t>
      </w:r>
      <w:r>
        <w:rPr>
          <w:rFonts w:hint="eastAsia" w:ascii="仿宋_GB2312" w:eastAsia="仿宋_GB2312"/>
          <w:color w:val="auto"/>
          <w:sz w:val="24"/>
          <w:highlight w:val="none"/>
          <w:u w:val="single"/>
          <w:shd w:val="clear" w:color="auto" w:fill="auto"/>
          <w:lang w:val="en-US" w:eastAsia="zh-CN"/>
        </w:rPr>
        <w:t>/发站</w:t>
      </w:r>
      <w:r>
        <w:rPr>
          <w:rFonts w:hint="eastAsia" w:ascii="仿宋_GB2312" w:eastAsia="仿宋_GB2312"/>
          <w:color w:val="auto"/>
          <w:sz w:val="24"/>
          <w:highlight w:val="none"/>
          <w:shd w:val="clear" w:color="auto" w:fill="auto"/>
        </w:rPr>
        <w:t>结果作为最终结算依据。</w:t>
      </w:r>
    </w:p>
    <w:p w14:paraId="1FE950A1">
      <w:pPr>
        <w:keepNext w:val="0"/>
        <w:keepLines w:val="0"/>
        <w:pageBreakBefore w:val="0"/>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hAnsi="宋体" w:eastAsia="仿宋_GB2312" w:cs="宋体"/>
          <w:color w:val="auto"/>
          <w:sz w:val="24"/>
          <w:highlight w:val="none"/>
          <w:shd w:val="clear" w:color="auto" w:fill="auto"/>
        </w:rPr>
      </w:pPr>
      <w:r>
        <w:rPr>
          <w:rFonts w:hint="eastAsia" w:ascii="仿宋_GB2312" w:hAnsi="宋体" w:eastAsia="仿宋_GB2312" w:cs="宋体"/>
          <w:color w:val="auto"/>
          <w:sz w:val="24"/>
          <w:highlight w:val="none"/>
          <w:shd w:val="clear" w:color="auto" w:fill="auto"/>
        </w:rPr>
        <w:t>5.</w:t>
      </w:r>
      <w:r>
        <w:rPr>
          <w:rFonts w:hint="eastAsia" w:ascii="仿宋_GB2312" w:hAnsi="宋体" w:eastAsia="仿宋_GB2312" w:cs="宋体"/>
          <w:color w:val="auto"/>
          <w:sz w:val="24"/>
          <w:highlight w:val="none"/>
          <w:shd w:val="clear" w:color="auto" w:fill="auto"/>
          <w:lang w:val="en-US" w:eastAsia="zh-CN"/>
        </w:rPr>
        <w:t>3</w:t>
      </w:r>
      <w:r>
        <w:rPr>
          <w:rFonts w:hint="eastAsia" w:ascii="仿宋_GB2312" w:hAnsi="宋体" w:eastAsia="仿宋_GB2312" w:cs="宋体"/>
          <w:color w:val="auto"/>
          <w:sz w:val="24"/>
          <w:highlight w:val="none"/>
          <w:shd w:val="clear" w:color="auto" w:fill="auto"/>
        </w:rPr>
        <w:t>.</w:t>
      </w:r>
      <w:r>
        <w:rPr>
          <w:rFonts w:hint="eastAsia" w:ascii="仿宋_GB2312" w:hAnsi="宋体" w:eastAsia="仿宋_GB2312" w:cs="宋体"/>
          <w:color w:val="auto"/>
          <w:sz w:val="24"/>
          <w:highlight w:val="none"/>
          <w:shd w:val="clear" w:color="auto" w:fill="auto"/>
          <w:lang w:val="en-US" w:eastAsia="zh-CN"/>
        </w:rPr>
        <w:t>2.</w:t>
      </w:r>
      <w:r>
        <w:rPr>
          <w:rFonts w:hint="eastAsia" w:ascii="仿宋_GB2312" w:hAnsi="宋体" w:eastAsia="仿宋_GB2312" w:cs="宋体"/>
          <w:color w:val="auto"/>
          <w:sz w:val="24"/>
          <w:highlight w:val="none"/>
          <w:shd w:val="clear" w:color="auto" w:fill="auto"/>
        </w:rPr>
        <w:t>3 质量争议处理中发生的复验、复检等相关费用由责任方承担。</w:t>
      </w:r>
    </w:p>
    <w:p w14:paraId="1484C57E">
      <w:pPr>
        <w:keepNext w:val="0"/>
        <w:keepLines w:val="0"/>
        <w:pageBreakBefore w:val="0"/>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default" w:ascii="仿宋_GB2312" w:hAnsi="宋体" w:eastAsia="仿宋_GB2312" w:cs="宋体"/>
          <w:color w:val="auto"/>
          <w:sz w:val="24"/>
          <w:highlight w:val="none"/>
          <w:shd w:val="clear" w:color="auto" w:fill="auto"/>
          <w:lang w:val="en-US" w:eastAsia="zh-CN"/>
        </w:rPr>
      </w:pPr>
      <w:r>
        <w:rPr>
          <w:rFonts w:hint="eastAsia" w:ascii="仿宋_GB2312" w:hAnsi="宋体" w:eastAsia="仿宋_GB2312" w:cs="宋体"/>
          <w:color w:val="auto"/>
          <w:sz w:val="24"/>
          <w:highlight w:val="none"/>
          <w:shd w:val="clear" w:color="auto" w:fill="auto"/>
          <w:lang w:val="en-US" w:eastAsia="zh-CN"/>
        </w:rPr>
        <w:t xml:space="preserve">5.4 </w:t>
      </w:r>
      <w:r>
        <w:rPr>
          <w:rFonts w:hint="eastAsia" w:ascii="仿宋_GB2312" w:eastAsia="仿宋_GB2312"/>
          <w:color w:val="auto"/>
          <w:sz w:val="24"/>
          <w:highlight w:val="none"/>
          <w:shd w:val="clear" w:color="auto" w:fill="auto"/>
          <w:lang w:val="en-US" w:eastAsia="zh-CN"/>
        </w:rPr>
        <w:t>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0015C28D">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第六条  结算与货款支付</w:t>
      </w:r>
    </w:p>
    <w:p w14:paraId="363F7AFF">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双方约定以</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（预付货款/后付货款）方式进行结算。</w:t>
      </w:r>
    </w:p>
    <w:p w14:paraId="629BCE82">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lang w:eastAsia="zh-CN"/>
        </w:rPr>
      </w:pPr>
      <w:r>
        <w:rPr>
          <w:rFonts w:hint="eastAsia" w:ascii="仿宋_GB2312" w:eastAsia="仿宋_GB2312"/>
          <w:color w:val="auto"/>
          <w:sz w:val="24"/>
          <w:highlight w:val="none"/>
          <w:shd w:val="clear" w:color="auto" w:fill="auto"/>
        </w:rPr>
        <w:t>预付货款比例</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r>
        <w:rPr>
          <w:rFonts w:hint="eastAsia" w:ascii="仿宋_GB2312" w:eastAsia="仿宋_GB2312"/>
          <w:color w:val="auto"/>
          <w:sz w:val="24"/>
          <w:highlight w:val="none"/>
          <w:shd w:val="clear" w:color="auto" w:fill="auto"/>
          <w:lang w:eastAsia="zh-CN"/>
        </w:rPr>
        <w:t>。（由双方公平协商确定）</w:t>
      </w:r>
    </w:p>
    <w:p w14:paraId="061FF9BC">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结算以元（人民币）为单位，小数点后保留两位。</w:t>
      </w:r>
    </w:p>
    <w:p w14:paraId="42668B75">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6.1 到站交货</w:t>
      </w:r>
    </w:p>
    <w:p w14:paraId="76D5BB01">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6.1.1双方约定（每周、每旬、每月） 结算一次。卖方向买方开具增值税发票</w:t>
      </w:r>
      <w:r>
        <w:rPr>
          <w:rFonts w:hint="eastAsia" w:ascii="仿宋_GB2312" w:eastAsia="仿宋_GB2312"/>
          <w:color w:val="auto"/>
          <w:sz w:val="24"/>
          <w:highlight w:val="none"/>
          <w:shd w:val="clear" w:color="auto" w:fill="auto"/>
          <w:lang w:val="en-US" w:eastAsia="zh-CN"/>
        </w:rPr>
        <w:t>和</w:t>
      </w:r>
      <w:r>
        <w:rPr>
          <w:rFonts w:hint="eastAsia" w:ascii="仿宋_GB2312" w:hAnsi="Times New Roman" w:eastAsia="仿宋_GB2312" w:cs="Times New Roman"/>
          <w:color w:val="auto"/>
          <w:kern w:val="2"/>
          <w:sz w:val="24"/>
          <w:szCs w:val="24"/>
          <w:highlight w:val="none"/>
          <w:u w:val="none"/>
          <w:shd w:val="clear" w:color="auto" w:fill="auto"/>
          <w:lang w:val="en-US" w:eastAsia="zh-CN" w:bidi="ar-SA"/>
        </w:rPr>
        <w:t>办理相应</w:t>
      </w:r>
      <w:r>
        <w:rPr>
          <w:rFonts w:hint="eastAsia" w:ascii="仿宋_GB2312" w:eastAsia="仿宋_GB2312" w:cs="Times New Roman"/>
          <w:color w:val="auto"/>
          <w:kern w:val="2"/>
          <w:sz w:val="24"/>
          <w:szCs w:val="24"/>
          <w:highlight w:val="none"/>
          <w:u w:val="none"/>
          <w:shd w:val="clear" w:color="auto" w:fill="auto"/>
          <w:lang w:val="en-US" w:eastAsia="zh-CN" w:bidi="ar-SA"/>
        </w:rPr>
        <w:t>货权转移手续</w:t>
      </w:r>
      <w:r>
        <w:rPr>
          <w:rFonts w:hint="eastAsia" w:ascii="仿宋_GB2312" w:eastAsia="仿宋_GB2312"/>
          <w:color w:val="auto"/>
          <w:sz w:val="24"/>
          <w:highlight w:val="none"/>
          <w:shd w:val="clear" w:color="auto" w:fill="auto"/>
        </w:rPr>
        <w:t>，买方收到发票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个工作日内向卖方结清全部货款。</w:t>
      </w:r>
    </w:p>
    <w:p w14:paraId="6456EAAA">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6.1.2 买方如对结算事宜有异议，需向卖方发出“结算异议通知”，经卖、 买双方核查确认后，买方应在收到发票后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个工作日内向卖方支付货款。</w:t>
      </w:r>
    </w:p>
    <w:p w14:paraId="10A89ACB">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6.1.3 </w:t>
      </w:r>
      <w:r>
        <w:rPr>
          <w:rFonts w:hint="eastAsia" w:ascii="仿宋_GB2312" w:eastAsia="仿宋_GB2312"/>
          <w:color w:val="auto"/>
          <w:sz w:val="24"/>
          <w:highlight w:val="none"/>
          <w:shd w:val="clear" w:color="auto" w:fill="auto"/>
          <w:lang w:val="en-US" w:eastAsia="zh-CN"/>
        </w:rPr>
        <w:t>买卖</w:t>
      </w:r>
      <w:r>
        <w:rPr>
          <w:rFonts w:hint="eastAsia" w:ascii="仿宋_GB2312" w:eastAsia="仿宋_GB2312"/>
          <w:color w:val="auto"/>
          <w:sz w:val="24"/>
          <w:highlight w:val="none"/>
          <w:shd w:val="clear" w:color="auto" w:fill="auto"/>
        </w:rPr>
        <w:t>双方约定的其他付款方式。</w:t>
      </w:r>
    </w:p>
    <w:p w14:paraId="0BB9117D">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6.2 装船港离岸平仓交货</w:t>
      </w:r>
    </w:p>
    <w:p w14:paraId="3460E6B6">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 xml:space="preserve">6.2.1 </w:t>
      </w:r>
      <w:r>
        <w:rPr>
          <w:rFonts w:hint="eastAsia" w:ascii="仿宋_GB2312" w:eastAsia="仿宋_GB2312"/>
          <w:color w:val="auto"/>
          <w:sz w:val="24"/>
          <w:highlight w:val="none"/>
          <w:shd w:val="clear" w:color="auto" w:fill="auto"/>
          <w:lang w:val="en-US" w:eastAsia="zh-CN"/>
        </w:rPr>
        <w:t>买卖</w:t>
      </w:r>
      <w:r>
        <w:rPr>
          <w:rFonts w:hint="eastAsia" w:ascii="仿宋_GB2312" w:eastAsia="仿宋_GB2312"/>
          <w:color w:val="auto"/>
          <w:sz w:val="24"/>
          <w:highlight w:val="none"/>
          <w:shd w:val="clear" w:color="auto" w:fill="auto"/>
        </w:rPr>
        <w:t>双方同意以每一船煤为一批次进行结算。双方按有效的水路货物运单</w:t>
      </w:r>
      <w:r>
        <w:rPr>
          <w:rFonts w:hint="eastAsia" w:ascii="仿宋_GB2312" w:eastAsia="仿宋_GB2312"/>
          <w:color w:val="auto"/>
          <w:sz w:val="24"/>
          <w:highlight w:val="none"/>
          <w:shd w:val="clear" w:color="auto" w:fill="auto"/>
          <w:lang w:eastAsia="zh-CN"/>
        </w:rPr>
        <w:t>、</w:t>
      </w:r>
      <w:r>
        <w:rPr>
          <w:rFonts w:hint="eastAsia" w:ascii="仿宋_GB2312" w:hAnsi="Times New Roman" w:eastAsia="仿宋_GB2312" w:cs="Times New Roman"/>
          <w:color w:val="auto"/>
          <w:kern w:val="2"/>
          <w:sz w:val="24"/>
          <w:szCs w:val="24"/>
          <w:highlight w:val="none"/>
          <w:u w:val="none"/>
          <w:shd w:val="clear" w:color="auto" w:fill="auto"/>
          <w:lang w:val="en-US" w:eastAsia="zh-CN" w:bidi="ar-SA"/>
        </w:rPr>
        <w:t>相应</w:t>
      </w:r>
      <w:r>
        <w:rPr>
          <w:rFonts w:hint="eastAsia" w:ascii="仿宋_GB2312" w:eastAsia="仿宋_GB2312" w:cs="Times New Roman"/>
          <w:color w:val="auto"/>
          <w:kern w:val="2"/>
          <w:sz w:val="24"/>
          <w:szCs w:val="24"/>
          <w:highlight w:val="none"/>
          <w:u w:val="none"/>
          <w:shd w:val="clear" w:color="auto" w:fill="auto"/>
          <w:lang w:val="en-US" w:eastAsia="zh-CN" w:bidi="ar-SA"/>
        </w:rPr>
        <w:t>货权转移手续</w:t>
      </w:r>
      <w:r>
        <w:rPr>
          <w:rFonts w:hint="eastAsia" w:ascii="仿宋_GB2312" w:eastAsia="仿宋_GB2312"/>
          <w:color w:val="auto"/>
          <w:sz w:val="24"/>
          <w:highlight w:val="none"/>
          <w:shd w:val="clear" w:color="auto" w:fill="auto"/>
        </w:rPr>
        <w:t>及质量检验化验单（以下简称“结算单据”）进行煤款结算，所有结算单据传真件均有效，原件</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个工作日内送达。</w:t>
      </w:r>
    </w:p>
    <w:p w14:paraId="4D1D7FA7">
      <w:pPr>
        <w:keepNext w:val="0"/>
        <w:keepLines w:val="0"/>
        <w:pageBreakBefore w:val="0"/>
        <w:widowControl/>
        <w:kinsoku/>
        <w:wordWrap/>
        <w:overflowPunct/>
        <w:topLinePunct w:val="0"/>
        <w:autoSpaceDE/>
        <w:autoSpaceDN/>
        <w:bidi w:val="0"/>
        <w:adjustRightInd w:val="0"/>
        <w:snapToGrid w:val="0"/>
        <w:spacing w:before="120" w:beforeLines="0" w:line="500" w:lineRule="exact"/>
        <w:ind w:left="0" w:leftChars="0" w:firstLine="480" w:firstLineChars="200"/>
        <w:textAlignment w:val="auto"/>
        <w:rPr>
          <w:rFonts w:hint="eastAsia" w:ascii="仿宋_GB2312" w:eastAsia="仿宋_GB2312"/>
          <w:color w:val="auto"/>
          <w:sz w:val="24"/>
          <w:highlight w:val="none"/>
          <w:shd w:val="clear" w:color="auto" w:fill="auto"/>
          <w:lang w:eastAsia="zh-CN"/>
        </w:rPr>
      </w:pPr>
      <w:r>
        <w:rPr>
          <w:rFonts w:hint="eastAsia" w:ascii="仿宋_GB2312" w:eastAsia="仿宋_GB2312"/>
          <w:color w:val="auto"/>
          <w:sz w:val="24"/>
          <w:highlight w:val="none"/>
          <w:shd w:val="clear" w:color="auto" w:fill="auto"/>
        </w:rPr>
        <w:t>6.2.2 结算周期自受载煤船从装船港离岸之日开始计算。</w:t>
      </w:r>
      <w:r>
        <w:rPr>
          <w:rFonts w:hint="eastAsia" w:ascii="仿宋_GB2312" w:eastAsia="仿宋_GB2312"/>
          <w:color w:val="auto"/>
          <w:sz w:val="24"/>
          <w:highlight w:val="none"/>
          <w:shd w:val="clear" w:color="auto" w:fill="auto"/>
          <w:lang w:val="en-US" w:eastAsia="zh-CN"/>
        </w:rPr>
        <w:t>买卖</w:t>
      </w:r>
      <w:r>
        <w:rPr>
          <w:rFonts w:hint="eastAsia" w:ascii="仿宋_GB2312" w:eastAsia="仿宋_GB2312"/>
          <w:color w:val="auto"/>
          <w:sz w:val="24"/>
          <w:highlight w:val="none"/>
          <w:shd w:val="clear" w:color="auto" w:fill="auto"/>
        </w:rPr>
        <w:t>双方在</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个工作日内核对“结算单据”，如无异议卖方向买方开具增值税发票，买方在收到发票后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个工作日内向卖方结清全部货款，若出现逾期货款，卖方有权提出逾期利息支付的要求</w:t>
      </w:r>
      <w:r>
        <w:rPr>
          <w:rFonts w:hint="eastAsia" w:ascii="仿宋_GB2312" w:eastAsia="仿宋_GB2312"/>
          <w:color w:val="auto"/>
          <w:sz w:val="24"/>
          <w:highlight w:val="none"/>
          <w:shd w:val="clear" w:color="auto" w:fill="auto"/>
          <w:lang w:eastAsia="zh-CN"/>
        </w:rPr>
        <w:t>。</w:t>
      </w:r>
    </w:p>
    <w:p w14:paraId="465D4117">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6.2.3 买方如对结算事宜有异议，需向卖方发出“结算异议通知”，经卖、 买双方核查确认后，买方应在收到发票后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个工作日内向卖方结清货款。</w:t>
      </w:r>
    </w:p>
    <w:p w14:paraId="43ADB891">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6.3 如遇特殊情况无法正常开票结算时，买方应在煤炭交收后</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个工作日内按合同金额的</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%支付相应煤款，待双方达成共识后，结清余款。</w:t>
      </w:r>
    </w:p>
    <w:p w14:paraId="2C35BC03">
      <w:pPr>
        <w:keepNext w:val="0"/>
        <w:keepLines w:val="0"/>
        <w:pageBreakBefore w:val="0"/>
        <w:widowControl/>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6.4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7864EA80">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lang w:val="en-US" w:eastAsia="zh-CN"/>
        </w:rPr>
        <w:t xml:space="preserve">第七条  </w:t>
      </w:r>
      <w:r>
        <w:rPr>
          <w:rFonts w:hint="eastAsia" w:ascii="黑体" w:eastAsia="黑体"/>
          <w:b/>
          <w:bCs/>
          <w:color w:val="auto"/>
          <w:sz w:val="28"/>
          <w:szCs w:val="28"/>
          <w:highlight w:val="none"/>
          <w:shd w:val="clear" w:color="auto" w:fill="auto"/>
        </w:rPr>
        <w:t xml:space="preserve">违约责任  </w:t>
      </w:r>
    </w:p>
    <w:p w14:paraId="07A0CCFE">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s="Times New Roman"/>
          <w:color w:val="auto"/>
          <w:kern w:val="2"/>
          <w:sz w:val="24"/>
          <w:szCs w:val="24"/>
          <w:highlight w:val="none"/>
          <w:u w:val="none"/>
          <w:shd w:val="clear" w:color="auto" w:fill="auto"/>
          <w:lang w:val="en-US" w:eastAsia="zh-CN" w:bidi="ar-SA"/>
        </w:rPr>
        <w:t>7.1 买卖双方</w:t>
      </w:r>
      <w:r>
        <w:rPr>
          <w:rFonts w:hint="eastAsia" w:ascii="仿宋_GB2312" w:eastAsia="仿宋_GB2312"/>
          <w:color w:val="auto"/>
          <w:sz w:val="24"/>
          <w:highlight w:val="none"/>
          <w:shd w:val="clear" w:color="auto" w:fill="auto"/>
        </w:rPr>
        <w:t>应严格履行本合同。</w:t>
      </w:r>
      <w:bookmarkStart w:id="2" w:name="OLE_LINK4"/>
      <w:r>
        <w:rPr>
          <w:rFonts w:hint="eastAsia" w:ascii="仿宋_GB2312" w:eastAsia="仿宋_GB2312"/>
          <w:color w:val="auto"/>
          <w:sz w:val="24"/>
          <w:highlight w:val="none"/>
          <w:shd w:val="clear" w:color="auto" w:fill="auto"/>
        </w:rPr>
        <w:t>任何一方不履行本合同义务或履行本合同义务不符合本合同约定的，应按《中华人民共和国民法典》的规定承担继续履行、采取补救措施和赔偿守约方损失等违约责任。</w:t>
      </w:r>
    </w:p>
    <w:p w14:paraId="4059B3A8">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7.2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bookmarkEnd w:id="2"/>
    <w:p w14:paraId="53FCCC85">
      <w:pPr>
        <w:keepNext w:val="0"/>
        <w:keepLines w:val="0"/>
        <w:pageBreakBefore w:val="0"/>
        <w:kinsoku/>
        <w:wordWrap/>
        <w:overflowPunct/>
        <w:topLinePunct w:val="0"/>
        <w:autoSpaceDE/>
        <w:autoSpaceDN/>
        <w:bidi w:val="0"/>
        <w:adjustRightInd/>
        <w:spacing w:before="240" w:beforeLines="0" w:line="500" w:lineRule="exact"/>
        <w:ind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w:t>
      </w:r>
      <w:r>
        <w:rPr>
          <w:rFonts w:hint="eastAsia" w:ascii="黑体" w:eastAsia="黑体"/>
          <w:b/>
          <w:bCs/>
          <w:color w:val="auto"/>
          <w:sz w:val="28"/>
          <w:szCs w:val="28"/>
          <w:highlight w:val="none"/>
          <w:shd w:val="clear" w:color="auto" w:fill="auto"/>
          <w:lang w:val="en-US" w:eastAsia="zh-CN"/>
        </w:rPr>
        <w:t>八</w:t>
      </w:r>
      <w:r>
        <w:rPr>
          <w:rFonts w:hint="eastAsia" w:ascii="黑体" w:eastAsia="黑体"/>
          <w:b/>
          <w:bCs/>
          <w:color w:val="auto"/>
          <w:sz w:val="28"/>
          <w:szCs w:val="28"/>
          <w:highlight w:val="none"/>
          <w:shd w:val="clear" w:color="auto" w:fill="auto"/>
        </w:rPr>
        <w:t>条  不可抗力事件</w:t>
      </w:r>
    </w:p>
    <w:p w14:paraId="77B5DCB8">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lang w:val="en-US" w:eastAsia="zh-CN"/>
        </w:rPr>
        <w:t>8</w:t>
      </w:r>
      <w:r>
        <w:rPr>
          <w:rFonts w:hint="eastAsia" w:ascii="仿宋_GB2312" w:eastAsia="仿宋_GB2312"/>
          <w:color w:val="auto"/>
          <w:sz w:val="24"/>
          <w:highlight w:val="none"/>
          <w:shd w:val="clear" w:color="auto" w:fill="auto"/>
        </w:rPr>
        <w:t>.1 由于恶劣天气、战争、自然灾害、运输中断、重大安全生产事故、政策变化，以及其他不能预见并且对其发生或后果不能防止或避免的不可抗力事件，致使直接影响到本合同的履行或者按约定的条件履行，遭遇不可抗力事件的一方应在15日内书面通知另一方，并向另一方出示不可抗力事件发生的相应证明。</w:t>
      </w:r>
    </w:p>
    <w:p w14:paraId="32A5EA15">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lang w:val="en-US" w:eastAsia="zh-CN"/>
        </w:rPr>
        <w:t>8</w:t>
      </w:r>
      <w:r>
        <w:rPr>
          <w:rFonts w:hint="eastAsia" w:ascii="仿宋_GB2312" w:eastAsia="仿宋_GB2312"/>
          <w:color w:val="auto"/>
          <w:sz w:val="24"/>
          <w:highlight w:val="none"/>
          <w:shd w:val="clear" w:color="auto" w:fill="auto"/>
        </w:rPr>
        <w:t>.2 遭受不可抗力一方应采取一切必要措施减少损失，并在事件消除后立即恢复本合同的履行；如果一方由于不可抗力事件无法履行其在本合同项下部分义务，则双方协商终止部分合同履行，该部分合同不能履行应免除各方相应责任，并不影响其他部分合同继续履行。</w:t>
      </w:r>
    </w:p>
    <w:p w14:paraId="15C5240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bookmarkStart w:id="3" w:name="OLE_LINK2"/>
      <w:r>
        <w:rPr>
          <w:rFonts w:hint="eastAsia" w:ascii="仿宋_GB2312" w:eastAsia="仿宋_GB2312"/>
          <w:color w:val="auto"/>
          <w:sz w:val="24"/>
          <w:highlight w:val="none"/>
          <w:shd w:val="clear" w:color="auto" w:fill="auto"/>
          <w:lang w:val="en-US" w:eastAsia="zh-CN"/>
        </w:rPr>
        <w:t>8</w:t>
      </w:r>
      <w:r>
        <w:rPr>
          <w:rFonts w:hint="eastAsia" w:ascii="仿宋_GB2312" w:eastAsia="仿宋_GB2312"/>
          <w:color w:val="auto"/>
          <w:sz w:val="24"/>
          <w:highlight w:val="none"/>
          <w:shd w:val="clear" w:color="auto" w:fill="auto"/>
        </w:rPr>
        <w:t xml:space="preserve">.3 </w:t>
      </w:r>
      <w:r>
        <w:rPr>
          <w:rFonts w:hint="eastAsia" w:ascii="仿宋_GB2312" w:eastAsia="仿宋_GB2312" w:cs="Times New Roman"/>
          <w:color w:val="auto"/>
          <w:kern w:val="2"/>
          <w:sz w:val="24"/>
          <w:szCs w:val="24"/>
          <w:highlight w:val="none"/>
          <w:u w:val="none"/>
          <w:shd w:val="clear" w:color="auto" w:fill="auto"/>
          <w:lang w:val="en-US" w:eastAsia="zh-CN" w:bidi="ar-SA"/>
        </w:rPr>
        <w:t>买卖双方应共同积极协调铁路运力。</w:t>
      </w:r>
      <w:r>
        <w:rPr>
          <w:rFonts w:hint="eastAsia" w:ascii="仿宋_GB2312" w:eastAsia="仿宋_GB2312"/>
          <w:color w:val="auto"/>
          <w:sz w:val="24"/>
          <w:highlight w:val="none"/>
          <w:shd w:val="clear" w:color="auto" w:fill="auto"/>
        </w:rPr>
        <w:t>买卖双方不能以未配置铁路运力为由拒绝履约，如未能申请到铁路运力，卖方应当先交付资源，由买方通过其他运输方式提货，买卖双方不得以未配置铁路运力为由拒绝交付资源或拒不提货。</w:t>
      </w:r>
    </w:p>
    <w:bookmarkEnd w:id="3"/>
    <w:p w14:paraId="4058FFF6">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s="Times New Roman"/>
          <w:color w:val="auto"/>
          <w:kern w:val="2"/>
          <w:sz w:val="24"/>
          <w:szCs w:val="24"/>
          <w:highlight w:val="none"/>
          <w:u w:val="single"/>
          <w:shd w:val="clear" w:color="auto" w:fill="auto"/>
          <w:lang w:val="en-US" w:eastAsia="zh-CN" w:bidi="ar-SA"/>
        </w:rPr>
      </w:pPr>
      <w:r>
        <w:rPr>
          <w:rFonts w:hint="eastAsia" w:ascii="仿宋_GB2312" w:eastAsia="仿宋_GB2312"/>
          <w:color w:val="auto"/>
          <w:sz w:val="24"/>
          <w:highlight w:val="none"/>
          <w:shd w:val="clear" w:color="auto" w:fill="auto"/>
          <w:lang w:val="en-US" w:eastAsia="zh-CN"/>
        </w:rPr>
        <w:t>8</w:t>
      </w:r>
      <w:r>
        <w:rPr>
          <w:rFonts w:hint="eastAsia" w:ascii="仿宋_GB2312" w:eastAsia="仿宋_GB2312"/>
          <w:color w:val="auto"/>
          <w:sz w:val="24"/>
          <w:highlight w:val="none"/>
          <w:shd w:val="clear" w:color="auto" w:fill="auto"/>
        </w:rPr>
        <w:t>.4</w:t>
      </w:r>
      <w:r>
        <w:rPr>
          <w:rFonts w:hint="eastAsia" w:ascii="仿宋_GB2312" w:eastAsia="仿宋_GB2312"/>
          <w:color w:val="auto"/>
          <w:sz w:val="24"/>
          <w:highlight w:val="none"/>
          <w:shd w:val="clear" w:color="auto" w:fill="auto"/>
          <w:lang w:val="en-US" w:eastAsia="zh-CN"/>
        </w:rPr>
        <w:t xml:space="preserve"> </w:t>
      </w:r>
      <w:r>
        <w:rPr>
          <w:rFonts w:hint="eastAsia" w:ascii="仿宋_GB2312" w:eastAsia="仿宋_GB2312"/>
          <w:color w:val="auto"/>
          <w:sz w:val="24"/>
          <w:highlight w:val="none"/>
          <w:shd w:val="clear" w:color="auto" w:fill="auto"/>
        </w:rPr>
        <w:t>卖方不得以安全生产事故导致的临时性停产，以及设备故障检修、倒工作面、天气因素等短期因素影响履约。确因上述因素影响产量的，卖方应统筹企业资源或通过煤矿储备资源履约，或协商产量恢复后补齐欠量，仍存在缺口的，须通过采购市场煤资源履约。</w:t>
      </w:r>
      <w:r>
        <w:rPr>
          <w:rFonts w:hint="eastAsia" w:ascii="仿宋_GB2312" w:eastAsia="仿宋_GB2312" w:cs="Times New Roman"/>
          <w:color w:val="auto"/>
          <w:kern w:val="2"/>
          <w:sz w:val="24"/>
          <w:szCs w:val="24"/>
          <w:highlight w:val="none"/>
          <w:u w:val="none"/>
          <w:shd w:val="clear" w:color="auto" w:fill="auto"/>
          <w:lang w:val="en-US" w:eastAsia="zh-CN" w:bidi="ar-SA"/>
        </w:rPr>
        <w:t>如以市场煤资源履约，买卖双方可根据实际市场行情重新协商。</w:t>
      </w:r>
    </w:p>
    <w:p w14:paraId="326E5685">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8.5 合同一方如因特殊原因需减少履约数量，应提前</w:t>
      </w:r>
      <w:r>
        <w:rPr>
          <w:rFonts w:hint="eastAsia" w:ascii="仿宋_GB2312" w:eastAsia="仿宋_GB2312" w:cs="Times New Roman"/>
          <w:color w:val="auto"/>
          <w:kern w:val="2"/>
          <w:sz w:val="24"/>
          <w:szCs w:val="24"/>
          <w:highlight w:val="none"/>
          <w:u w:val="single"/>
          <w:shd w:val="clear" w:color="auto" w:fill="auto"/>
          <w:lang w:val="en-US" w:eastAsia="zh-CN" w:bidi="ar-SA"/>
        </w:rPr>
        <w:t xml:space="preserve">   </w:t>
      </w:r>
      <w:r>
        <w:rPr>
          <w:rFonts w:hint="eastAsia" w:ascii="仿宋_GB2312" w:eastAsia="仿宋_GB2312" w:cs="Times New Roman"/>
          <w:color w:val="auto"/>
          <w:kern w:val="2"/>
          <w:sz w:val="24"/>
          <w:szCs w:val="24"/>
          <w:highlight w:val="none"/>
          <w:u w:val="none"/>
          <w:shd w:val="clear" w:color="auto" w:fill="auto"/>
          <w:lang w:val="en-US" w:eastAsia="zh-CN" w:bidi="ar-SA"/>
        </w:rPr>
        <w:t>日与另一方沟通协商，不得单方面无故弃约或无故不履约。</w:t>
      </w:r>
    </w:p>
    <w:p w14:paraId="7D5480DC">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s="Times New Roman"/>
          <w:color w:val="auto"/>
          <w:kern w:val="2"/>
          <w:sz w:val="24"/>
          <w:szCs w:val="24"/>
          <w:highlight w:val="none"/>
          <w:u w:val="none"/>
          <w:shd w:val="clear" w:color="auto" w:fill="auto"/>
          <w:lang w:val="en-US" w:eastAsia="zh-CN" w:bidi="ar-SA"/>
        </w:rPr>
      </w:pPr>
      <w:r>
        <w:rPr>
          <w:rFonts w:hint="eastAsia" w:ascii="仿宋_GB2312" w:eastAsia="仿宋_GB2312" w:cs="Times New Roman"/>
          <w:color w:val="auto"/>
          <w:kern w:val="2"/>
          <w:sz w:val="24"/>
          <w:szCs w:val="24"/>
          <w:highlight w:val="none"/>
          <w:u w:val="none"/>
          <w:shd w:val="clear" w:color="auto" w:fill="auto"/>
          <w:lang w:val="en-US" w:eastAsia="zh-CN" w:bidi="ar-SA"/>
        </w:rPr>
        <w:t xml:space="preserve">8.6 </w:t>
      </w:r>
      <w:r>
        <w:rPr>
          <w:rFonts w:hint="eastAsia" w:ascii="仿宋_GB2312" w:eastAsia="仿宋_GB2312"/>
          <w:color w:val="auto"/>
          <w:sz w:val="24"/>
          <w:highlight w:val="none"/>
          <w:shd w:val="clear" w:color="auto" w:fill="auto"/>
          <w:lang w:val="en-US" w:eastAsia="zh-CN"/>
        </w:rPr>
        <w:t>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134DBBA7">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w:t>
      </w:r>
      <w:r>
        <w:rPr>
          <w:rFonts w:hint="eastAsia" w:ascii="黑体" w:eastAsia="黑体"/>
          <w:b/>
          <w:bCs/>
          <w:color w:val="auto"/>
          <w:sz w:val="28"/>
          <w:szCs w:val="28"/>
          <w:highlight w:val="none"/>
          <w:shd w:val="clear" w:color="auto" w:fill="auto"/>
          <w:lang w:eastAsia="zh-CN"/>
        </w:rPr>
        <w:t>九</w:t>
      </w:r>
      <w:r>
        <w:rPr>
          <w:rFonts w:hint="eastAsia" w:ascii="黑体" w:eastAsia="黑体"/>
          <w:b/>
          <w:bCs/>
          <w:color w:val="auto"/>
          <w:sz w:val="28"/>
          <w:szCs w:val="28"/>
          <w:highlight w:val="none"/>
          <w:shd w:val="clear" w:color="auto" w:fill="auto"/>
        </w:rPr>
        <w:t>条  争议的解决</w:t>
      </w:r>
    </w:p>
    <w:p w14:paraId="72C66840">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lang w:val="en-US" w:eastAsia="zh-CN"/>
        </w:rPr>
        <w:t>9</w:t>
      </w:r>
      <w:r>
        <w:rPr>
          <w:rFonts w:hint="eastAsia" w:ascii="仿宋_GB2312" w:eastAsia="仿宋_GB2312"/>
          <w:color w:val="auto"/>
          <w:sz w:val="24"/>
          <w:highlight w:val="none"/>
          <w:shd w:val="clear" w:color="auto" w:fill="auto"/>
        </w:rPr>
        <w:t>.1 凡因合同或与本合同有关而发生的争议，买卖双方应友好协商解决。</w:t>
      </w:r>
    </w:p>
    <w:p w14:paraId="19B26021">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lang w:val="en-US" w:eastAsia="zh-CN"/>
        </w:rPr>
        <w:t>9.</w:t>
      </w:r>
      <w:r>
        <w:rPr>
          <w:rFonts w:hint="eastAsia" w:ascii="仿宋_GB2312" w:eastAsia="仿宋_GB2312"/>
          <w:color w:val="auto"/>
          <w:sz w:val="24"/>
          <w:highlight w:val="none"/>
          <w:shd w:val="clear" w:color="auto" w:fill="auto"/>
        </w:rPr>
        <w:t>2 协商不成时，双方均同意向卖方所在地</w:t>
      </w:r>
      <w:r>
        <w:rPr>
          <w:rFonts w:hint="eastAsia" w:ascii="仿宋_GB2312" w:eastAsia="仿宋_GB2312" w:cs="Times New Roman"/>
          <w:color w:val="auto"/>
          <w:kern w:val="2"/>
          <w:sz w:val="24"/>
          <w:szCs w:val="24"/>
          <w:highlight w:val="none"/>
          <w:u w:val="none"/>
          <w:shd w:val="clear" w:color="auto" w:fill="auto"/>
          <w:lang w:val="en-US" w:eastAsia="zh-CN" w:bidi="ar-SA"/>
        </w:rPr>
        <w:t>人民法院/</w:t>
      </w:r>
      <w:r>
        <w:rPr>
          <w:rFonts w:hint="eastAsia" w:ascii="仿宋_GB2312" w:eastAsia="仿宋_GB2312"/>
          <w:color w:val="auto"/>
          <w:sz w:val="24"/>
          <w:highlight w:val="none"/>
          <w:shd w:val="clear" w:color="auto" w:fill="auto"/>
        </w:rPr>
        <w:t>仲裁机构提起</w:t>
      </w:r>
      <w:r>
        <w:rPr>
          <w:rFonts w:hint="eastAsia" w:ascii="仿宋_GB2312" w:eastAsia="仿宋_GB2312" w:cs="Times New Roman"/>
          <w:color w:val="auto"/>
          <w:kern w:val="2"/>
          <w:sz w:val="24"/>
          <w:szCs w:val="24"/>
          <w:highlight w:val="none"/>
          <w:u w:val="none"/>
          <w:shd w:val="clear" w:color="auto" w:fill="auto"/>
          <w:lang w:val="en-US" w:eastAsia="zh-CN" w:bidi="ar-SA"/>
        </w:rPr>
        <w:t>诉讼或</w:t>
      </w:r>
      <w:r>
        <w:rPr>
          <w:rFonts w:hint="eastAsia" w:ascii="仿宋_GB2312" w:eastAsia="仿宋_GB2312"/>
          <w:color w:val="auto"/>
          <w:sz w:val="24"/>
          <w:highlight w:val="none"/>
          <w:shd w:val="clear" w:color="auto" w:fill="auto"/>
        </w:rPr>
        <w:t>仲裁。</w:t>
      </w:r>
    </w:p>
    <w:p w14:paraId="7819A79A">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9.3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11708D16">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第十条  保密</w:t>
      </w:r>
    </w:p>
    <w:p w14:paraId="390C9A6C">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0</w:t>
      </w:r>
      <w:r>
        <w:rPr>
          <w:rFonts w:hint="eastAsia" w:ascii="仿宋_GB2312" w:eastAsia="仿宋_GB2312"/>
          <w:color w:val="auto"/>
          <w:sz w:val="24"/>
          <w:highlight w:val="none"/>
          <w:shd w:val="clear" w:color="auto" w:fill="auto"/>
        </w:rPr>
        <w:t>.1 除向政府及监管部门、检验机构提供必要的信息外，未经对方同意，任何一方不得向任何第三方泄露与本合同涉及的数量、价格及品种质量等任何未公开商业信息。但根据证券交易所和监管机构的要求以及信息披露的要求进行的公开披露除外。</w:t>
      </w:r>
    </w:p>
    <w:p w14:paraId="6C64A29E">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0</w:t>
      </w:r>
      <w:r>
        <w:rPr>
          <w:rFonts w:hint="eastAsia" w:ascii="仿宋_GB2312" w:eastAsia="仿宋_GB2312"/>
          <w:color w:val="auto"/>
          <w:sz w:val="24"/>
          <w:highlight w:val="none"/>
          <w:shd w:val="clear" w:color="auto" w:fill="auto"/>
        </w:rPr>
        <w:t>.2 协议双方确保参与本合同履行的本方员工不向任何第三方泄露与本合同有关的任何未公开信息。</w:t>
      </w:r>
    </w:p>
    <w:p w14:paraId="0346C32B">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0</w:t>
      </w:r>
      <w:r>
        <w:rPr>
          <w:rFonts w:hint="eastAsia" w:ascii="仿宋_GB2312" w:eastAsia="仿宋_GB2312"/>
          <w:color w:val="auto"/>
          <w:sz w:val="24"/>
          <w:highlight w:val="none"/>
          <w:shd w:val="clear" w:color="auto" w:fill="auto"/>
        </w:rPr>
        <w:t>.3 任何一方因未遵守本项保密而造成对方损失的，负责赔偿对方的一切损失。</w:t>
      </w:r>
    </w:p>
    <w:p w14:paraId="1B484CF1">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0</w:t>
      </w:r>
      <w:r>
        <w:rPr>
          <w:rFonts w:hint="eastAsia" w:ascii="仿宋_GB2312" w:eastAsia="仿宋_GB2312"/>
          <w:color w:val="auto"/>
          <w:sz w:val="24"/>
          <w:highlight w:val="none"/>
          <w:shd w:val="clear" w:color="auto" w:fill="auto"/>
        </w:rPr>
        <w:t>.4 协议双方进一步承诺，对于本合同履行过程中所知晓的对方的所有商业信息和秘密，协议对方及参与本合同履行的员工均负保密义务。</w:t>
      </w:r>
    </w:p>
    <w:p w14:paraId="30E80FA5">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0</w:t>
      </w:r>
      <w:r>
        <w:rPr>
          <w:rFonts w:hint="eastAsia" w:ascii="仿宋_GB2312" w:eastAsia="仿宋_GB2312"/>
          <w:color w:val="auto"/>
          <w:sz w:val="24"/>
          <w:highlight w:val="none"/>
          <w:shd w:val="clear" w:color="auto" w:fill="auto"/>
        </w:rPr>
        <w:t xml:space="preserve">.5 本条约定的保密义务自本合同生效之日起3年后终止，除非需要保密的信息或资料非因任何一方的原因已向公众公开。 </w:t>
      </w:r>
    </w:p>
    <w:p w14:paraId="433176C6">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10.6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31AC805D">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ascii="黑体" w:eastAsia="黑体"/>
          <w:b/>
          <w:bCs/>
          <w:color w:val="auto"/>
          <w:sz w:val="28"/>
          <w:szCs w:val="28"/>
          <w:highlight w:val="none"/>
          <w:shd w:val="clear" w:color="auto" w:fill="auto"/>
        </w:rPr>
      </w:pPr>
      <w:r>
        <w:rPr>
          <w:rFonts w:hint="eastAsia" w:ascii="黑体" w:eastAsia="黑体"/>
          <w:b/>
          <w:bCs/>
          <w:color w:val="auto"/>
          <w:sz w:val="28"/>
          <w:szCs w:val="28"/>
          <w:highlight w:val="none"/>
          <w:shd w:val="clear" w:color="auto" w:fill="auto"/>
        </w:rPr>
        <w:t>第十</w:t>
      </w:r>
      <w:r>
        <w:rPr>
          <w:rFonts w:hint="eastAsia" w:ascii="黑体" w:eastAsia="黑体"/>
          <w:b/>
          <w:bCs/>
          <w:color w:val="auto"/>
          <w:sz w:val="28"/>
          <w:szCs w:val="28"/>
          <w:highlight w:val="none"/>
          <w:shd w:val="clear" w:color="auto" w:fill="auto"/>
          <w:lang w:val="en-US" w:eastAsia="zh-CN"/>
        </w:rPr>
        <w:t>一</w:t>
      </w:r>
      <w:r>
        <w:rPr>
          <w:rFonts w:hint="eastAsia" w:ascii="黑体" w:eastAsia="黑体"/>
          <w:b/>
          <w:bCs/>
          <w:color w:val="auto"/>
          <w:sz w:val="28"/>
          <w:szCs w:val="28"/>
          <w:highlight w:val="none"/>
          <w:shd w:val="clear" w:color="auto" w:fill="auto"/>
        </w:rPr>
        <w:t>条  生效</w:t>
      </w:r>
    </w:p>
    <w:p w14:paraId="6E5E0297">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1</w:t>
      </w:r>
      <w:r>
        <w:rPr>
          <w:rFonts w:hint="eastAsia" w:ascii="仿宋_GB2312" w:eastAsia="仿宋_GB2312"/>
          <w:color w:val="auto"/>
          <w:sz w:val="24"/>
          <w:highlight w:val="none"/>
          <w:shd w:val="clear" w:color="auto" w:fill="auto"/>
        </w:rPr>
        <w:t>.1 本合同经买卖双方法定代表人或授权代表签字并加盖公章或合同专用章，及使用公章或合同专用章加盖合同骑缝后生效。</w:t>
      </w:r>
    </w:p>
    <w:p w14:paraId="07330F1A">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1</w:t>
      </w:r>
      <w:r>
        <w:rPr>
          <w:rFonts w:hint="eastAsia" w:ascii="仿宋_GB2312" w:eastAsia="仿宋_GB2312"/>
          <w:color w:val="auto"/>
          <w:sz w:val="24"/>
          <w:highlight w:val="none"/>
          <w:shd w:val="clear" w:color="auto" w:fill="auto"/>
        </w:rPr>
        <w:t>.2 未经另一方书面同意，一方不能将其在本合同项下的权利义务转移给第三方。</w:t>
      </w:r>
    </w:p>
    <w:p w14:paraId="2960E47E">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1</w:t>
      </w:r>
      <w:r>
        <w:rPr>
          <w:rFonts w:hint="eastAsia" w:ascii="仿宋_GB2312" w:eastAsia="仿宋_GB2312"/>
          <w:color w:val="auto"/>
          <w:sz w:val="24"/>
          <w:highlight w:val="none"/>
          <w:shd w:val="clear" w:color="auto" w:fill="auto"/>
          <w:lang w:val="en-US" w:eastAsia="zh-CN"/>
        </w:rPr>
        <w:t>1</w:t>
      </w:r>
      <w:r>
        <w:rPr>
          <w:rFonts w:hint="eastAsia" w:ascii="仿宋_GB2312" w:eastAsia="仿宋_GB2312"/>
          <w:color w:val="auto"/>
          <w:sz w:val="24"/>
          <w:highlight w:val="none"/>
          <w:shd w:val="clear" w:color="auto" w:fill="auto"/>
        </w:rPr>
        <w:t>.</w:t>
      </w:r>
      <w:r>
        <w:rPr>
          <w:rFonts w:hint="eastAsia" w:ascii="仿宋_GB2312" w:eastAsia="仿宋_GB2312"/>
          <w:color w:val="auto"/>
          <w:sz w:val="24"/>
          <w:highlight w:val="none"/>
          <w:shd w:val="clear" w:color="auto" w:fill="auto"/>
          <w:lang w:val="en-US" w:eastAsia="zh-CN"/>
        </w:rPr>
        <w:t xml:space="preserve">3 </w:t>
      </w:r>
      <w:r>
        <w:rPr>
          <w:rFonts w:hint="eastAsia" w:ascii="仿宋_GB2312" w:eastAsia="仿宋_GB2312"/>
          <w:color w:val="auto"/>
          <w:sz w:val="24"/>
          <w:highlight w:val="none"/>
          <w:shd w:val="clear" w:color="auto" w:fill="auto"/>
        </w:rPr>
        <w:t>本合同正本一式肆份，合同双方各执贰份。</w:t>
      </w:r>
    </w:p>
    <w:p w14:paraId="7A9ACD5D">
      <w:pPr>
        <w:keepNext w:val="0"/>
        <w:keepLines w:val="0"/>
        <w:pageBreakBefore w:val="0"/>
        <w:kinsoku/>
        <w:wordWrap/>
        <w:overflowPunct/>
        <w:topLinePunct w:val="0"/>
        <w:autoSpaceDE/>
        <w:autoSpaceDN/>
        <w:bidi w:val="0"/>
        <w:adjustRightInd/>
        <w:spacing w:before="240" w:beforeLines="0" w:line="500" w:lineRule="exact"/>
        <w:ind w:left="0" w:leftChars="0" w:firstLine="478" w:firstLineChars="170"/>
        <w:textAlignment w:val="auto"/>
        <w:rPr>
          <w:rFonts w:hint="eastAsia" w:ascii="仿宋_GB2312" w:eastAsia="仿宋_GB2312"/>
          <w:color w:val="auto"/>
          <w:sz w:val="24"/>
          <w:highlight w:val="none"/>
          <w:shd w:val="clear" w:color="auto" w:fill="auto"/>
          <w:lang w:val="en-US" w:eastAsia="zh-CN"/>
        </w:rPr>
      </w:pPr>
      <w:r>
        <w:rPr>
          <w:rFonts w:hint="eastAsia" w:ascii="黑体" w:eastAsia="黑体"/>
          <w:b/>
          <w:bCs/>
          <w:color w:val="auto"/>
          <w:sz w:val="28"/>
          <w:szCs w:val="28"/>
          <w:highlight w:val="none"/>
          <w:shd w:val="clear" w:color="auto" w:fill="auto"/>
          <w:lang w:val="en-US" w:eastAsia="zh-CN"/>
        </w:rPr>
        <w:t>第十二条  其它</w:t>
      </w:r>
    </w:p>
    <w:p w14:paraId="707C2A38">
      <w:pPr>
        <w:keepNext w:val="0"/>
        <w:keepLines w:val="0"/>
        <w:pageBreakBefore w:val="0"/>
        <w:kinsoku/>
        <w:wordWrap/>
        <w:overflowPunct/>
        <w:topLinePunct w:val="0"/>
        <w:autoSpaceDE/>
        <w:autoSpaceDN/>
        <w:bidi w:val="0"/>
        <w:adjustRightInd w:val="0"/>
        <w:snapToGrid w:val="0"/>
        <w:spacing w:before="120" w:beforeLines="0" w:line="500" w:lineRule="exact"/>
        <w:ind w:firstLine="480" w:firstLineChars="200"/>
        <w:textAlignment w:val="auto"/>
        <w:rPr>
          <w:rFonts w:hint="default" w:ascii="仿宋_GB2312" w:eastAsia="仿宋_GB2312"/>
          <w:color w:val="auto"/>
          <w:sz w:val="24"/>
          <w:highlight w:val="none"/>
          <w:shd w:val="clear" w:color="auto" w:fill="auto"/>
          <w:lang w:val="en-US" w:eastAsia="zh-CN"/>
        </w:rPr>
      </w:pPr>
      <w:r>
        <w:rPr>
          <w:rFonts w:hint="eastAsia" w:ascii="仿宋_GB2312" w:eastAsia="仿宋_GB2312"/>
          <w:color w:val="auto"/>
          <w:sz w:val="24"/>
          <w:highlight w:val="none"/>
          <w:shd w:val="clear" w:color="auto" w:fill="auto"/>
          <w:lang w:val="en-US" w:eastAsia="zh-CN"/>
        </w:rPr>
        <w:t>12.1 其它：</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u w:val="single"/>
          <w:shd w:val="clear" w:color="auto" w:fill="auto"/>
          <w:lang w:val="en-US" w:eastAsia="zh-CN"/>
        </w:rPr>
        <w:t xml:space="preserve">                                    </w:t>
      </w:r>
      <w:r>
        <w:rPr>
          <w:rFonts w:hint="eastAsia" w:ascii="仿宋_GB2312" w:eastAsia="仿宋_GB2312"/>
          <w:color w:val="auto"/>
          <w:sz w:val="24"/>
          <w:highlight w:val="none"/>
          <w:u w:val="single"/>
          <w:shd w:val="clear" w:color="auto" w:fill="auto"/>
        </w:rPr>
        <w:t xml:space="preserve"> </w:t>
      </w:r>
      <w:r>
        <w:rPr>
          <w:rFonts w:hint="eastAsia" w:ascii="仿宋_GB2312" w:eastAsia="仿宋_GB2312"/>
          <w:color w:val="auto"/>
          <w:sz w:val="24"/>
          <w:highlight w:val="none"/>
          <w:shd w:val="clear" w:color="auto" w:fill="auto"/>
        </w:rPr>
        <w:t>。</w:t>
      </w:r>
    </w:p>
    <w:p w14:paraId="34031F4B">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34334868">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13106DDF">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15726EAB">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6A88557E">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7C53D36D">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283D9CE4">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4BD649EA">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6ACAF911">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0F17E5C2">
      <w:pPr>
        <w:keepNext w:val="0"/>
        <w:keepLines w:val="0"/>
        <w:pageBreakBefore w:val="0"/>
        <w:kinsoku/>
        <w:wordWrap/>
        <w:overflowPunct/>
        <w:topLinePunct w:val="0"/>
        <w:autoSpaceDE/>
        <w:autoSpaceDN/>
        <w:bidi w:val="0"/>
        <w:adjustRightInd/>
        <w:spacing w:line="500" w:lineRule="exact"/>
        <w:textAlignment w:val="auto"/>
        <w:rPr>
          <w:rFonts w:hint="eastAsia" w:ascii="仿宋_GB2312" w:eastAsia="仿宋_GB2312"/>
          <w:b/>
          <w:bCs/>
          <w:color w:val="auto"/>
          <w:sz w:val="24"/>
          <w:highlight w:val="none"/>
          <w:shd w:val="clear" w:color="auto" w:fill="auto"/>
        </w:rPr>
      </w:pPr>
    </w:p>
    <w:p w14:paraId="1E67CF32">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r>
        <w:rPr>
          <w:rFonts w:hint="eastAsia" w:ascii="仿宋_GB2312" w:eastAsia="仿宋_GB2312"/>
          <w:b/>
          <w:bCs/>
          <w:color w:val="auto"/>
          <w:sz w:val="24"/>
          <w:highlight w:val="none"/>
          <w:shd w:val="clear" w:color="auto" w:fill="auto"/>
        </w:rPr>
        <w:t>（以下无正文）</w:t>
      </w:r>
    </w:p>
    <w:p w14:paraId="30BF5C12">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p>
    <w:p w14:paraId="70D05D6C">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p>
    <w:p w14:paraId="3FA95A96">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r>
        <w:rPr>
          <w:rFonts w:hint="eastAsia" w:ascii="仿宋_GB2312" w:eastAsia="仿宋_GB2312"/>
          <w:b/>
          <w:bCs/>
          <w:color w:val="auto"/>
          <w:sz w:val="24"/>
          <w:highlight w:val="none"/>
          <w:shd w:val="clear" w:color="auto" w:fill="auto"/>
        </w:rPr>
        <w:t>买方：            （章）               卖方：           （章）</w:t>
      </w:r>
    </w:p>
    <w:p w14:paraId="58A95B3E">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p>
    <w:p w14:paraId="4B402475">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r>
        <w:rPr>
          <w:rFonts w:hint="eastAsia" w:ascii="仿宋_GB2312" w:eastAsia="仿宋_GB2312"/>
          <w:b/>
          <w:bCs/>
          <w:color w:val="auto"/>
          <w:sz w:val="24"/>
          <w:highlight w:val="none"/>
          <w:shd w:val="clear" w:color="auto" w:fill="auto"/>
        </w:rPr>
        <w:t>法定代表人/授权代表签字：              法定代表人/授权代表签字：</w:t>
      </w:r>
    </w:p>
    <w:p w14:paraId="5F35C8E7">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p>
    <w:p w14:paraId="11EE68A8">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p>
    <w:p w14:paraId="7F45203F">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p>
    <w:p w14:paraId="10F49455">
      <w:pPr>
        <w:keepNext w:val="0"/>
        <w:keepLines w:val="0"/>
        <w:pageBreakBefore w:val="0"/>
        <w:kinsoku/>
        <w:wordWrap/>
        <w:overflowPunct/>
        <w:topLinePunct w:val="0"/>
        <w:autoSpaceDE/>
        <w:autoSpaceDN/>
        <w:bidi w:val="0"/>
        <w:adjustRightInd/>
        <w:spacing w:line="500" w:lineRule="exact"/>
        <w:textAlignment w:val="auto"/>
        <w:rPr>
          <w:rFonts w:ascii="仿宋_GB2312" w:eastAsia="仿宋_GB2312"/>
          <w:b/>
          <w:bCs/>
          <w:color w:val="auto"/>
          <w:sz w:val="24"/>
          <w:highlight w:val="none"/>
          <w:shd w:val="clear" w:color="auto" w:fill="auto"/>
        </w:rPr>
      </w:pPr>
      <w:r>
        <w:rPr>
          <w:rFonts w:hint="eastAsia" w:ascii="仿宋_GB2312" w:eastAsia="仿宋_GB2312"/>
          <w:b/>
          <w:bCs/>
          <w:color w:val="auto"/>
          <w:sz w:val="24"/>
          <w:highlight w:val="none"/>
          <w:shd w:val="clear" w:color="auto" w:fill="auto"/>
        </w:rPr>
        <w:t>-------------------------              -------------------------</w:t>
      </w:r>
    </w:p>
    <w:p w14:paraId="70A30E87">
      <w:pPr>
        <w:keepNext w:val="0"/>
        <w:keepLines w:val="0"/>
        <w:pageBreakBefore w:val="0"/>
        <w:kinsoku/>
        <w:wordWrap/>
        <w:overflowPunct/>
        <w:topLinePunct w:val="0"/>
        <w:autoSpaceDE/>
        <w:autoSpaceDN/>
        <w:bidi w:val="0"/>
        <w:adjustRightInd/>
        <w:spacing w:line="420" w:lineRule="atLeast"/>
        <w:textAlignment w:val="auto"/>
        <w:rPr>
          <w:color w:val="auto"/>
          <w:highlight w:val="none"/>
          <w:shd w:val="clear" w:color="auto" w:fill="auto"/>
        </w:rPr>
      </w:pPr>
      <w:r>
        <w:rPr>
          <w:rFonts w:hint="eastAsia" w:ascii="仿宋_GB2312" w:eastAsia="仿宋_GB2312"/>
          <w:b/>
          <w:bCs/>
          <w:color w:val="auto"/>
          <w:sz w:val="24"/>
          <w:shd w:val="clear" w:color="auto" w:fill="auto"/>
        </w:rPr>
        <w:t xml:space="preserve">          </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06693A-7888-4E50-BAB6-1B19100DC4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F1DFDC1-FE5A-4FA1-B62F-10AC16FEE370}"/>
  </w:font>
  <w:font w:name="Malgun Gothic">
    <w:panose1 w:val="020B0503020000020004"/>
    <w:charset w:val="81"/>
    <w:family w:val="swiss"/>
    <w:pitch w:val="default"/>
    <w:sig w:usb0="9000002F" w:usb1="29D77CFB" w:usb2="00000012" w:usb3="00000000" w:csb0="00080001" w:csb1="00000000"/>
    <w:embedRegular r:id="rId3" w:fontKey="{43303E1A-8274-4BC3-8E33-A601AD99E539}"/>
  </w:font>
  <w:font w:name="Microsoft JhengHei">
    <w:panose1 w:val="020B0604030504040204"/>
    <w:charset w:val="88"/>
    <w:family w:val="swiss"/>
    <w:pitch w:val="default"/>
    <w:sig w:usb0="000002A7" w:usb1="28CF4400" w:usb2="00000016" w:usb3="00000000" w:csb0="00100009" w:csb1="00000000"/>
    <w:embedRegular r:id="rId4" w:fontKey="{358BCA16-4DC0-430A-B553-00622D6A5E2B}"/>
  </w:font>
  <w:font w:name="楷体_GB2312">
    <w:altName w:val="楷体"/>
    <w:panose1 w:val="02010609030101010101"/>
    <w:charset w:val="86"/>
    <w:family w:val="auto"/>
    <w:pitch w:val="default"/>
    <w:sig w:usb0="00000000" w:usb1="00000000" w:usb2="00000000" w:usb3="00000000" w:csb0="00040000" w:csb1="00000000"/>
    <w:embedRegular r:id="rId5" w:fontKey="{A9CD4032-77D3-45D5-AE7D-25DF601B44CD}"/>
  </w:font>
  <w:font w:name="楷体">
    <w:panose1 w:val="02010609060101010101"/>
    <w:charset w:val="86"/>
    <w:family w:val="modern"/>
    <w:pitch w:val="default"/>
    <w:sig w:usb0="800002BF" w:usb1="38CF7CFA" w:usb2="00000016" w:usb3="00000000" w:csb0="00040001" w:csb1="00000000"/>
    <w:embedRegular r:id="rId6" w:fontKey="{6B100CF9-DFA4-4A79-BC0D-E3F28A5C8966}"/>
  </w:font>
  <w:font w:name="仿宋_GB2312">
    <w:altName w:val="仿宋"/>
    <w:panose1 w:val="02010609030101010101"/>
    <w:charset w:val="86"/>
    <w:family w:val="auto"/>
    <w:pitch w:val="default"/>
    <w:sig w:usb0="00000000" w:usb1="00000000" w:usb2="00000000" w:usb3="00000000" w:csb0="00040000" w:csb1="00000000"/>
    <w:embedRegular r:id="rId7" w:fontKey="{4BD8D100-FABC-4945-BECA-F825DBD9D86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2A6C">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4A894">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83285">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E83285">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0164">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83BEA">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783BEA">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12</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iOWRkNDRjNTUwZDkxZjVmZDhkZGRhNTU2N2MwMzAifQ=="/>
  </w:docVars>
  <w:rsids>
    <w:rsidRoot w:val="246B6D2A"/>
    <w:rsid w:val="00162517"/>
    <w:rsid w:val="00477200"/>
    <w:rsid w:val="00586F74"/>
    <w:rsid w:val="005C6BF7"/>
    <w:rsid w:val="00B53B4A"/>
    <w:rsid w:val="00D31A4C"/>
    <w:rsid w:val="00D6716E"/>
    <w:rsid w:val="04627D93"/>
    <w:rsid w:val="04B32D04"/>
    <w:rsid w:val="04F57176"/>
    <w:rsid w:val="05AD5E7C"/>
    <w:rsid w:val="05F23A3F"/>
    <w:rsid w:val="05F607BC"/>
    <w:rsid w:val="06D575E9"/>
    <w:rsid w:val="06E061F8"/>
    <w:rsid w:val="0831309E"/>
    <w:rsid w:val="088D48F1"/>
    <w:rsid w:val="08D8166C"/>
    <w:rsid w:val="095202FE"/>
    <w:rsid w:val="0A261F09"/>
    <w:rsid w:val="0A2809C7"/>
    <w:rsid w:val="0ABBA20E"/>
    <w:rsid w:val="0DFB570C"/>
    <w:rsid w:val="0FC81FFA"/>
    <w:rsid w:val="0FFC4763"/>
    <w:rsid w:val="107B53F3"/>
    <w:rsid w:val="10A90CDF"/>
    <w:rsid w:val="11A402E3"/>
    <w:rsid w:val="11D22345"/>
    <w:rsid w:val="12EF4746"/>
    <w:rsid w:val="14885C9A"/>
    <w:rsid w:val="14BC1DE8"/>
    <w:rsid w:val="15636A71"/>
    <w:rsid w:val="165A1714"/>
    <w:rsid w:val="16994C3E"/>
    <w:rsid w:val="172C4C7C"/>
    <w:rsid w:val="17E54DBA"/>
    <w:rsid w:val="18425057"/>
    <w:rsid w:val="1A4D2ECF"/>
    <w:rsid w:val="1A704417"/>
    <w:rsid w:val="1AB93876"/>
    <w:rsid w:val="1C9418CA"/>
    <w:rsid w:val="1D3A7205"/>
    <w:rsid w:val="1D8B264A"/>
    <w:rsid w:val="1ED312E9"/>
    <w:rsid w:val="1F664E2A"/>
    <w:rsid w:val="1FB14D6E"/>
    <w:rsid w:val="1FB94061"/>
    <w:rsid w:val="1FF15B05"/>
    <w:rsid w:val="207B66B3"/>
    <w:rsid w:val="22462CF1"/>
    <w:rsid w:val="230A4F03"/>
    <w:rsid w:val="23971A56"/>
    <w:rsid w:val="23B02B18"/>
    <w:rsid w:val="246B6D2A"/>
    <w:rsid w:val="25121EE2"/>
    <w:rsid w:val="273F5D8F"/>
    <w:rsid w:val="27486FC3"/>
    <w:rsid w:val="28F434A6"/>
    <w:rsid w:val="29585A16"/>
    <w:rsid w:val="29B80978"/>
    <w:rsid w:val="29DF65A2"/>
    <w:rsid w:val="2A377244"/>
    <w:rsid w:val="2AFF14C1"/>
    <w:rsid w:val="2CD66451"/>
    <w:rsid w:val="2F7691BB"/>
    <w:rsid w:val="30F95594"/>
    <w:rsid w:val="32DE4452"/>
    <w:rsid w:val="34515C51"/>
    <w:rsid w:val="34ED2B6D"/>
    <w:rsid w:val="35CE6E2D"/>
    <w:rsid w:val="35F76384"/>
    <w:rsid w:val="375C4E89"/>
    <w:rsid w:val="3842422E"/>
    <w:rsid w:val="39393992"/>
    <w:rsid w:val="39FFF37E"/>
    <w:rsid w:val="3A4462F5"/>
    <w:rsid w:val="3A592954"/>
    <w:rsid w:val="3AF47336"/>
    <w:rsid w:val="3BDE86E3"/>
    <w:rsid w:val="3CC72F54"/>
    <w:rsid w:val="3DEF3574"/>
    <w:rsid w:val="3DFD5746"/>
    <w:rsid w:val="3E6F3ED0"/>
    <w:rsid w:val="3F3FBD4F"/>
    <w:rsid w:val="3F777C87"/>
    <w:rsid w:val="3F827606"/>
    <w:rsid w:val="3FEB5A56"/>
    <w:rsid w:val="408A49C4"/>
    <w:rsid w:val="43947908"/>
    <w:rsid w:val="44550E45"/>
    <w:rsid w:val="446B3C51"/>
    <w:rsid w:val="45C97219"/>
    <w:rsid w:val="46911EDD"/>
    <w:rsid w:val="47FC0F66"/>
    <w:rsid w:val="48F74BC1"/>
    <w:rsid w:val="49479862"/>
    <w:rsid w:val="49661705"/>
    <w:rsid w:val="4B7F452E"/>
    <w:rsid w:val="4BF383BD"/>
    <w:rsid w:val="4C664459"/>
    <w:rsid w:val="4D49415A"/>
    <w:rsid w:val="4D6C7200"/>
    <w:rsid w:val="4DA8648A"/>
    <w:rsid w:val="4DBA440F"/>
    <w:rsid w:val="4EA449F7"/>
    <w:rsid w:val="50176E34"/>
    <w:rsid w:val="53591FD4"/>
    <w:rsid w:val="5373753A"/>
    <w:rsid w:val="53DD8017"/>
    <w:rsid w:val="53DF4503"/>
    <w:rsid w:val="545E3DF7"/>
    <w:rsid w:val="55250E00"/>
    <w:rsid w:val="55AE5C44"/>
    <w:rsid w:val="56AF5AF8"/>
    <w:rsid w:val="56E04EE4"/>
    <w:rsid w:val="56EF8517"/>
    <w:rsid w:val="58DF3E78"/>
    <w:rsid w:val="5A902780"/>
    <w:rsid w:val="5B164443"/>
    <w:rsid w:val="5BCF58E8"/>
    <w:rsid w:val="5C3F1521"/>
    <w:rsid w:val="5C57704E"/>
    <w:rsid w:val="5C5D4E7D"/>
    <w:rsid w:val="5DC97723"/>
    <w:rsid w:val="5DEF3B5E"/>
    <w:rsid w:val="5DFB8404"/>
    <w:rsid w:val="5DFF2386"/>
    <w:rsid w:val="5F3062DF"/>
    <w:rsid w:val="5FCF61CF"/>
    <w:rsid w:val="5FDEAC9D"/>
    <w:rsid w:val="5FFEBFCC"/>
    <w:rsid w:val="603B13E0"/>
    <w:rsid w:val="61ED6B42"/>
    <w:rsid w:val="63FF99DA"/>
    <w:rsid w:val="654C1999"/>
    <w:rsid w:val="656E5DB3"/>
    <w:rsid w:val="65FDF0F5"/>
    <w:rsid w:val="665F8ABF"/>
    <w:rsid w:val="66B3D479"/>
    <w:rsid w:val="66EB2602"/>
    <w:rsid w:val="67F4C6EA"/>
    <w:rsid w:val="67FF9DC0"/>
    <w:rsid w:val="684C4C3D"/>
    <w:rsid w:val="686E5B0B"/>
    <w:rsid w:val="697D70FF"/>
    <w:rsid w:val="6B914DF2"/>
    <w:rsid w:val="6D643660"/>
    <w:rsid w:val="6DBF961F"/>
    <w:rsid w:val="6DFF5C7F"/>
    <w:rsid w:val="6FDF6201"/>
    <w:rsid w:val="6FFA232F"/>
    <w:rsid w:val="70D53633"/>
    <w:rsid w:val="712A458C"/>
    <w:rsid w:val="739F538A"/>
    <w:rsid w:val="74D57DD9"/>
    <w:rsid w:val="752624C3"/>
    <w:rsid w:val="76B76078"/>
    <w:rsid w:val="76E7759C"/>
    <w:rsid w:val="76FD78C5"/>
    <w:rsid w:val="778C9332"/>
    <w:rsid w:val="77C51736"/>
    <w:rsid w:val="77F31FFC"/>
    <w:rsid w:val="77FB4F01"/>
    <w:rsid w:val="77FF7204"/>
    <w:rsid w:val="78F430E2"/>
    <w:rsid w:val="79A47B9E"/>
    <w:rsid w:val="79DD20D1"/>
    <w:rsid w:val="79DE794D"/>
    <w:rsid w:val="7A056019"/>
    <w:rsid w:val="7A094344"/>
    <w:rsid w:val="7A3B6F43"/>
    <w:rsid w:val="7A61783D"/>
    <w:rsid w:val="7AE85868"/>
    <w:rsid w:val="7BB221D7"/>
    <w:rsid w:val="7BD33D06"/>
    <w:rsid w:val="7BEFC44D"/>
    <w:rsid w:val="7CD42548"/>
    <w:rsid w:val="7D6C93C0"/>
    <w:rsid w:val="7D7F3A1C"/>
    <w:rsid w:val="7DBB1B48"/>
    <w:rsid w:val="7DC205F3"/>
    <w:rsid w:val="7DDEE381"/>
    <w:rsid w:val="7DE67673"/>
    <w:rsid w:val="7E123328"/>
    <w:rsid w:val="7E2162E1"/>
    <w:rsid w:val="7F5EFF13"/>
    <w:rsid w:val="7FB1B44F"/>
    <w:rsid w:val="7FB57F3C"/>
    <w:rsid w:val="7FBF59FC"/>
    <w:rsid w:val="7FCA240F"/>
    <w:rsid w:val="7FEFE2CC"/>
    <w:rsid w:val="7FF92D57"/>
    <w:rsid w:val="7FFE272C"/>
    <w:rsid w:val="7FFEE627"/>
    <w:rsid w:val="8E1F0067"/>
    <w:rsid w:val="9DBF61B6"/>
    <w:rsid w:val="9DFD4231"/>
    <w:rsid w:val="AFE65D42"/>
    <w:rsid w:val="B7FBD6E6"/>
    <w:rsid w:val="B97C33BE"/>
    <w:rsid w:val="BC9EEEEB"/>
    <w:rsid w:val="BEE77A04"/>
    <w:rsid w:val="BF3D63FD"/>
    <w:rsid w:val="CFEB021D"/>
    <w:rsid w:val="D77F8435"/>
    <w:rsid w:val="DE6F5F86"/>
    <w:rsid w:val="DEBD9CBA"/>
    <w:rsid w:val="E3CFCCE2"/>
    <w:rsid w:val="E4BF3441"/>
    <w:rsid w:val="E7FE0F22"/>
    <w:rsid w:val="E7FF07AF"/>
    <w:rsid w:val="EB5E7CB6"/>
    <w:rsid w:val="EBFE908C"/>
    <w:rsid w:val="ECE90DA9"/>
    <w:rsid w:val="EDDF7466"/>
    <w:rsid w:val="EEFB0E9F"/>
    <w:rsid w:val="EF474A40"/>
    <w:rsid w:val="EFB7CE2F"/>
    <w:rsid w:val="F4FFCAA7"/>
    <w:rsid w:val="F57FF43B"/>
    <w:rsid w:val="F6BDB1C5"/>
    <w:rsid w:val="F79DC363"/>
    <w:rsid w:val="F7D58F36"/>
    <w:rsid w:val="F83B7A1D"/>
    <w:rsid w:val="FAB7C4E2"/>
    <w:rsid w:val="FB1F496D"/>
    <w:rsid w:val="FBBF5700"/>
    <w:rsid w:val="FBE3A0A7"/>
    <w:rsid w:val="FBEF1ECD"/>
    <w:rsid w:val="FBF5FDC2"/>
    <w:rsid w:val="FC57B5A3"/>
    <w:rsid w:val="FD5D1FE9"/>
    <w:rsid w:val="FD7F8E7A"/>
    <w:rsid w:val="FEEF4B53"/>
    <w:rsid w:val="FF7FEA84"/>
    <w:rsid w:val="FFDBAC34"/>
    <w:rsid w:val="FFDBF0AB"/>
    <w:rsid w:val="FFDF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4781</Words>
  <Characters>5248</Characters>
  <Lines>42</Lines>
  <Paragraphs>11</Paragraphs>
  <TotalTime>3</TotalTime>
  <ScaleCrop>false</ScaleCrop>
  <LinksUpToDate>false</LinksUpToDate>
  <CharactersWithSpaces>6409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2023-10-11T08:45:00Z</dcterms:created>
  <dc:creator>大坤</dc:creator>
  <cp:lastModifiedBy>郭玲娟</cp:lastModifiedBy>
  <cp:lastPrinted>2023-11-10T02:22:00Z</cp:lastPrinted>
  <dcterms:modified xsi:type="dcterms:W3CDTF">2024-11-25T02:20:42Z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D9ED613E58434C52AE955AB0AAC206D2_13</vt:lpwstr>
  </property>
</Properties>
</file>